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89558410864ef2ad8053609fc370567909d576"/>
    <w:p>
      <w:pPr>
        <w:pStyle w:val="Heading3"/>
      </w:pPr>
      <w:r>
        <w:t xml:space="preserve">ПОЯСНИТЕЛЬНАЯ ЗАПИСКА на 1 октября 2022 года</w:t>
      </w:r>
    </w:p>
    <w:p>
      <w:pPr>
        <w:pStyle w:val="FirstParagraph"/>
      </w:pPr>
      <w:r>
        <w:t xml:space="preserve">02.03.2023</w:t>
      </w:r>
    </w:p>
    <w:tbl>
      <w:tblPr>
        <w:tblStyle w:val="Table"/>
        <w:tblW w:type="pct" w:w="5000"/>
        <w:tblLook w:firstRow="0" w:lastRow="0" w:firstColumn="0" w:lastColumn="0" w:noHBand="0" w:noVBand="0" w:val="0000"/>
      </w:tblPr>
      <w:tblGrid>
        <w:gridCol w:w="1584"/>
        <w:gridCol w:w="1584"/>
        <w:gridCol w:w="1584"/>
        <w:gridCol w:w="1584"/>
        <w:gridCol w:w="1584"/>
      </w:tblGrid>
      <w:tr>
        <w:tc>
          <w:tcPr/>
          <w:p>
            <w:pPr>
              <w:pStyle w:val="Compact"/>
            </w:pPr>
          </w:p>
        </w:tc>
        <w:tc>
          <w:tcPr/>
          <w:p>
            <w:pPr>
              <w:pStyle w:val="Compact"/>
            </w:pPr>
          </w:p>
        </w:tc>
        <w:tc>
          <w:tcPr/>
          <w:p>
            <w:pPr>
              <w:jc w:val="left"/>
            </w:pPr>
            <w:r>
              <w:t xml:space="preserve">ПОЯСНИТЕЛЬНАЯ ЗАПИСКА</w:t>
            </w: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jc w:val="left"/>
            </w:pPr>
            <w:r>
              <w:t xml:space="preserve">КОДЫ</w:t>
            </w:r>
          </w:p>
        </w:tc>
      </w:tr>
      <w:tr>
        <w:tc>
          <w:tcPr/>
          <w:p>
            <w:pPr>
              <w:pStyle w:val="Compact"/>
            </w:pPr>
          </w:p>
        </w:tc>
        <w:tc>
          <w:tcPr>
            <w:vMerge w:val="restart"/>
          </w:tcPr>
          <w:p>
            <w:pPr>
              <w:pStyle w:val="Compact"/>
            </w:pPr>
          </w:p>
        </w:tc>
        <w:tc>
          <w:tcPr>
            <w:vMerge w:val="restart"/>
          </w:tcPr>
          <w:p>
            <w:pPr>
              <w:jc w:val="left"/>
            </w:pPr>
            <w:r>
              <w:t xml:space="preserve">на 1 октября 2022 года</w:t>
            </w:r>
          </w:p>
        </w:tc>
        <w:tc>
          <w:tcPr>
            <w:vMerge w:val="restart"/>
          </w:tcPr>
          <w:p>
            <w:pPr>
              <w:jc w:val="left"/>
            </w:pPr>
            <w:r>
              <w:t xml:space="preserve">Форма по ОКУД</w:t>
            </w:r>
          </w:p>
        </w:tc>
        <w:tc>
          <w:tcPr>
            <w:vMerge w:val="restart"/>
          </w:tcPr>
          <w:p>
            <w:pPr>
              <w:jc w:val="left"/>
            </w:pPr>
            <w:r>
              <w:t xml:space="preserve">0503160</w:t>
            </w:r>
          </w:p>
        </w:tc>
      </w:tr>
      <w:tr>
        <w:tc>
          <w:tcPr/>
          <w:p>
            <w:pPr>
              <w:pStyle w:val="Compact"/>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r>
      <w:tr>
        <w:tc>
          <w:tcPr/>
          <w:p>
            <w:pPr>
              <w:pStyle w:val="Compact"/>
            </w:pPr>
          </w:p>
        </w:tc>
        <w:tc>
          <w:tcPr/>
          <w:p>
            <w:pPr>
              <w:pStyle w:val="Compact"/>
            </w:pPr>
          </w:p>
        </w:tc>
        <w:tc>
          <w:tcPr/>
          <w:p>
            <w:pPr>
              <w:pStyle w:val="Compact"/>
            </w:pPr>
          </w:p>
        </w:tc>
        <w:tc>
          <w:tcPr/>
          <w:p>
            <w:pPr>
              <w:jc w:val="left"/>
            </w:pPr>
            <w:r>
              <w:t xml:space="preserve">Дата</w:t>
            </w:r>
          </w:p>
        </w:tc>
        <w:tc>
          <w:tcPr/>
          <w:p>
            <w:pPr>
              <w:jc w:val="left"/>
            </w:pPr>
            <w:r>
              <w:t xml:space="preserve">01.10.2022</w:t>
            </w:r>
          </w:p>
        </w:tc>
      </w:tr>
      <w:tr>
        <w:tc>
          <w:tcPr>
            <w:gridSpan w:val="2"/>
            <w:vMerge w:val="restart"/>
          </w:tcPr>
          <w:p>
            <w:pPr>
              <w:jc w:val="left"/>
            </w:pPr>
            <w:r>
              <w:t xml:space="preserve">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p>
            <w:pPr>
              <w:pStyle w:val="Compact"/>
            </w:pPr>
          </w:p>
        </w:tc>
        <w:tc>
          <w:tcPr>
            <w:vMerge w:val="restart"/>
          </w:tcPr>
          <w:p>
            <w:pPr>
              <w:jc w:val="left"/>
            </w:pPr>
            <w:r>
              <w:t xml:space="preserve">по ОКПО</w:t>
            </w:r>
          </w:p>
        </w:tc>
        <w:tc>
          <w:tcPr>
            <w:vMerge w:val="restart"/>
          </w:tcPr>
          <w:p>
            <w:pPr>
              <w:jc w:val="left"/>
            </w:pPr>
            <w:r>
              <w:br/>
            </w:r>
            <w:r>
              <w:t xml:space="preserve">13554549</w:t>
            </w: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jc w:val="left"/>
            </w:pPr>
            <w:r>
              <w:t xml:space="preserve">управа Красносельского района города Москвы</w:t>
            </w:r>
          </w:p>
        </w:tc>
        <w:tc>
          <w:tcPr/>
          <w:p>
            <w:pPr>
              <w:jc w:val="left"/>
            </w:pPr>
            <w:r>
              <w:t xml:space="preserve">Глава по БК</w:t>
            </w:r>
          </w:p>
        </w:tc>
        <w:tc>
          <w:tcPr/>
          <w:p>
            <w:pPr>
              <w:jc w:val="left"/>
            </w:pPr>
            <w:r>
              <w:t xml:space="preserve">961</w:t>
            </w:r>
          </w:p>
        </w:tc>
      </w:tr>
      <w:tr>
        <w:tc>
          <w:tcPr>
            <w:gridSpan w:val="2"/>
          </w:tcPr>
          <w:p>
            <w:pPr>
              <w:jc w:val="left"/>
            </w:pPr>
            <w:r>
              <w:t xml:space="preserve">Наименование бюджета (публично-правового образования)</w:t>
            </w:r>
          </w:p>
        </w:tc>
        <w:tc>
          <w:tcPr/>
          <w:p>
            <w:pPr>
              <w:jc w:val="left"/>
            </w:pPr>
            <w:r>
              <w:rPr>
                <w:bCs/>
                <w:b/>
              </w:rPr>
              <w:t xml:space="preserve">Бюджет города Москвы</w:t>
            </w:r>
          </w:p>
        </w:tc>
        <w:tc>
          <w:tcPr>
            <w:vMerge w:val="restart"/>
          </w:tcPr>
          <w:p>
            <w:pPr>
              <w:jc w:val="left"/>
            </w:pPr>
            <w:r>
              <w:t xml:space="preserve">по ОКТМО</w:t>
            </w:r>
          </w:p>
        </w:tc>
        <w:tc>
          <w:tcPr>
            <w:vMerge w:val="restart"/>
          </w:tcPr>
          <w:p>
            <w:pPr>
              <w:jc w:val="left"/>
            </w:pPr>
            <w:r>
              <w:t xml:space="preserve">45378000</w:t>
            </w:r>
          </w:p>
        </w:tc>
      </w:tr>
      <w:tr>
        <w:tc>
          <w:tcPr/>
          <w:p>
            <w:pPr>
              <w:pStyle w:val="Compact"/>
            </w:pPr>
          </w:p>
        </w:tc>
        <w:tc>
          <w:tcPr/>
          <w:p>
            <w:pPr>
              <w:pStyle w:val="Compact"/>
            </w:pPr>
          </w:p>
        </w:tc>
        <w:tc>
          <w:tcPr/>
          <w:p>
            <w:pPr>
              <w:pStyle w:val="Compact"/>
            </w:pPr>
          </w:p>
        </w:tc>
        <w:tc>
          <w:tcPr>
            <w:gridSpan w:val="1"/>
            <w:vMerge w:val="continue"/>
          </w:tcPr>
          <w:p>
            <w:pPr/>
          </w:p>
        </w:tc>
        <w:tc>
          <w:tcPr>
            <w:gridSpan w:val="1"/>
            <w:vMerge w:val="continue"/>
          </w:tcPr>
          <w:p>
            <w:pPr/>
          </w:p>
        </w:tc>
      </w:tr>
      <w:tr>
        <w:tc>
          <w:tcPr/>
          <w:p>
            <w:pPr>
              <w:jc w:val="left"/>
            </w:pPr>
            <w:r>
              <w:t xml:space="preserve">Периодичность:</w:t>
            </w:r>
          </w:p>
        </w:tc>
        <w:tc>
          <w:tcPr>
            <w:gridSpan w:val="2"/>
          </w:tcPr>
          <w:p>
            <w:pPr>
              <w:jc w:val="left"/>
            </w:pPr>
            <w:r>
              <w:t xml:space="preserve">квартальная</w:t>
            </w:r>
          </w:p>
        </w:tc>
        <w:tc>
          <w:tcPr/>
          <w:p>
            <w:pPr>
              <w:pStyle w:val="Compact"/>
            </w:pPr>
          </w:p>
        </w:tc>
        <w:tc>
          <w:tcPr/>
          <w:p>
            <w:pPr>
              <w:pStyle w:val="Compact"/>
            </w:pPr>
          </w:p>
        </w:tc>
      </w:tr>
      <w:tr>
        <w:tc>
          <w:tcPr>
            <w:gridSpan w:val="3"/>
          </w:tcPr>
          <w:p>
            <w:pPr>
              <w:jc w:val="left"/>
            </w:pPr>
            <w:r>
              <w:t xml:space="preserve">Единица измерения: руб.</w:t>
            </w:r>
          </w:p>
        </w:tc>
        <w:tc>
          <w:tcPr/>
          <w:p>
            <w:pPr>
              <w:jc w:val="left"/>
            </w:pPr>
            <w:r>
              <w:t xml:space="preserve">по ОКЕИ</w:t>
            </w:r>
          </w:p>
        </w:tc>
        <w:tc>
          <w:tcPr/>
          <w:p>
            <w:pPr>
              <w:jc w:val="left"/>
            </w:pPr>
            <w:r>
              <w:t xml:space="preserve">383</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gridSpan w:val="3"/>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gridSpan w:val="3"/>
          </w:tcPr>
          <w:p>
            <w:pPr>
              <w:pStyle w:val="Compact"/>
            </w:pPr>
          </w:p>
        </w:tc>
      </w:tr>
    </w:tbl>
    <w:p>
      <w:pPr>
        <w:pStyle w:val="BodyText"/>
      </w:pPr>
      <w:r>
        <w:rPr>
          <w:bCs/>
          <w:b/>
        </w:rPr>
        <w:t xml:space="preserve">Раздел 1 «Организационная структура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месте нахождения и организационно-правовой форме субъекта отчетности</w:t>
            </w:r>
          </w:p>
        </w:tc>
      </w:tr>
      <w:tr>
        <w:tc>
          <w:tcPr/>
          <w:p>
            <w:pPr>
              <w:jc w:val="left"/>
            </w:pPr>
            <w:r>
              <w:t xml:space="preserve">Высшим должностным лицом управы Красносельского района города Москвы является глава управы. Управа района является территориальным органом исполнительной власти города, подведомственным Правительству Москвы. В своей деятельности управа руководствуется Положением, утвержденным Постановлением Правительства Москвы от 24 февраля 2010 года № 157-ПП «О полномочиях территориальных органов исполнительной власти города Москвы». Управа Красносельского района города Москвы зарегистрирована 18 декабря 2002 года по адресу 107140, МОСКВА Г, КРАСНОСЕЛЬСКАЯ НИЖН. УЛ, ДОМ 5, СТРОЕНИЕ 7. Основным видом деятельности является деятельность органов государственной власти субъектов Российской Федерации.</w:t>
            </w:r>
          </w:p>
        </w:tc>
      </w:tr>
      <w:tr>
        <w:tc>
          <w:tcPr/>
          <w:p>
            <w:pPr>
              <w:pStyle w:val="Compact"/>
            </w:pPr>
          </w:p>
        </w:tc>
      </w:tr>
      <w:tr>
        <w:tc>
          <w:tcPr/>
          <w:p>
            <w:pPr>
              <w:jc w:val="left"/>
            </w:pPr>
            <w:r>
              <w:rPr>
                <w:bCs/>
                <w:b/>
              </w:rPr>
              <w:t xml:space="preserve">Сведения об изменениях наименования субъекта за отчетный период, если такие изменения производились</w:t>
            </w:r>
          </w:p>
        </w:tc>
      </w:tr>
      <w:tr>
        <w:tc>
          <w:tcPr/>
          <w:p>
            <w:pPr>
              <w:jc w:val="left"/>
            </w:pPr>
            <w:r>
              <w:t xml:space="preserve">Изменения наименования за отчетный период не проводились.</w:t>
            </w:r>
          </w:p>
        </w:tc>
      </w:tr>
      <w:tr>
        <w:tc>
          <w:tcPr/>
          <w:p>
            <w:pPr>
              <w:pStyle w:val="Compact"/>
            </w:pPr>
          </w:p>
        </w:tc>
      </w:tr>
      <w:tr>
        <w:tc>
          <w:tcPr/>
          <w:p>
            <w:pPr>
              <w:jc w:val="left"/>
            </w:pPr>
            <w:r>
              <w:rPr>
                <w:bCs/>
                <w:b/>
              </w:rPr>
              <w:t xml:space="preserve">Наименование учредителя субъекта отчетности (для подведомственных получателей бюджетных средств)</w:t>
            </w:r>
          </w:p>
        </w:tc>
      </w:tr>
      <w:tr>
        <w:tc>
          <w:tcPr/>
          <w:p>
            <w:pPr>
              <w:jc w:val="left"/>
            </w:pPr>
            <w:r>
              <w:t xml:space="preserve">Учредителем управы Красносельского района города Москвы является Правительство Москвы. Координацию и контроль за деятельностью управы района осуществляет префект Центрального административного округа города Москвы (далее - административный округ) в пределах полномочий, установленных правовыми актами города Москвы</w:t>
            </w:r>
          </w:p>
        </w:tc>
      </w:tr>
      <w:tr>
        <w:tc>
          <w:tcPr/>
          <w:p>
            <w:pPr>
              <w:pStyle w:val="Compact"/>
            </w:pPr>
          </w:p>
        </w:tc>
      </w:tr>
      <w:tr>
        <w:tc>
          <w:tcPr/>
          <w:p>
            <w:pPr>
              <w:jc w:val="left"/>
            </w:pPr>
            <w:r>
              <w:rPr>
                <w:bCs/>
                <w:b/>
              </w:rPr>
              <w:t xml:space="preserve">Информация о наличии филиалов (обособленных подразделений) учреждения по состоянию на отчетную дату с указанием причин, произошедших в течение отчетного периода изменений количества филиалов (обособленных подразделений)</w:t>
            </w:r>
          </w:p>
        </w:tc>
      </w:tr>
      <w:tr>
        <w:tc>
          <w:tcPr/>
          <w:p>
            <w:pPr>
              <w:jc w:val="left"/>
            </w:pPr>
            <w:r>
              <w:t xml:space="preserve">филиалы(обособленные подразделения)управа не имеет</w:t>
            </w:r>
          </w:p>
        </w:tc>
      </w:tr>
      <w:tr>
        <w:tc>
          <w:tcPr/>
          <w:p>
            <w:pPr>
              <w:pStyle w:val="Compact"/>
            </w:pPr>
          </w:p>
        </w:tc>
      </w:tr>
      <w:tr>
        <w:tc>
          <w:tcPr/>
          <w:p>
            <w:pPr>
              <w:jc w:val="left"/>
            </w:pPr>
            <w:r>
              <w:rPr>
                <w:bCs/>
                <w:b/>
              </w:rPr>
              <w:t xml:space="preserve">Информация об изменении состава бюджетных полномочий получателей, распорядителей бюджетных средств, находящихся в ведении главного распорядителя (распорядителя) бюджетных средств, а также администраторов находящихся в ведении главных администраторов источников финансирования дефицита бюджета, главных администраторов доходов бюджета</w:t>
            </w:r>
          </w:p>
        </w:tc>
      </w:tr>
      <w:tr>
        <w:tc>
          <w:tcPr/>
          <w:p>
            <w:pPr>
              <w:jc w:val="left"/>
            </w:pPr>
            <w:r>
              <w:t xml:space="preserve">Бюджетные полномочия в отчетном периоде у учреждения не изменялись. Бюджетная отчетность составляется на следующие даты: месячная - на первое число месяца, следующего за отчетным, квартальная - по состоянию на 1 апреля, 1 июля и 1 октября текущего года, годовая - на 1 января года, следующего за отчетным.3. Отчетным годом является календарный год - с 1 января по 31 декабря включительно. Месячная и квартальная отчетность является промежуточной и составляется нарастающим итогом с начала текущего финансового года."""</w:t>
            </w:r>
          </w:p>
        </w:tc>
      </w:tr>
      <w:tr>
        <w:tc>
          <w:tcPr/>
          <w:p>
            <w:pPr>
              <w:pStyle w:val="Compact"/>
            </w:pPr>
          </w:p>
        </w:tc>
      </w:tr>
      <w:tr>
        <w:tc>
          <w:tcPr/>
          <w:p>
            <w:pPr>
              <w:jc w:val="left"/>
            </w:pPr>
            <w:r>
              <w:rPr>
                <w:bCs/>
                <w:b/>
              </w:rPr>
              <w:t xml:space="preserve">Информация о передаче полномочий по ведению бухгалтерского учета иному учреждению (централизованной бухгалтерии) на основании договора (соглашения) с указанием их реквизитов</w:t>
            </w:r>
          </w:p>
        </w:tc>
      </w:tr>
      <w:tr>
        <w:tc>
          <w:tcPr/>
          <w:p>
            <w:pPr>
              <w:jc w:val="left"/>
            </w:pPr>
            <w:r>
              <w:t xml:space="preserve">Информация о передаче полномочий по ведению бухгалтерского учета иной организации (централизованной бухгалтерии) на основании договора (соглашения) с указанием их реквизитов отсутствует. Полномочия по ведению бухгалтерского учета принадлежат бухгалтерии управы Красносельского района города Москвы, которую возглавляет главный бухгалтер.</w:t>
            </w:r>
          </w:p>
        </w:tc>
      </w:tr>
      <w:tr>
        <w:tc>
          <w:tcPr/>
          <w:p>
            <w:pPr>
              <w:pStyle w:val="Compact"/>
            </w:pPr>
          </w:p>
        </w:tc>
      </w:tr>
      <w:tr>
        <w:tc>
          <w:tcPr/>
          <w:p>
            <w:pPr>
              <w:jc w:val="left"/>
            </w:pPr>
            <w:r>
              <w:rPr>
                <w:bCs/>
                <w:b/>
              </w:rPr>
              <w:t xml:space="preserve">Информация об исполнителе (ФИО, должность) централизованной бухгалтерии, составившем бухгалтерскую отчетность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оказавшая существенное влияние и характеризующая организационную структуру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Учреждение является юридическим лицом, самостоятельно ведет финансово-хозяйственную деятельность. Бухгалтерский учет осуществляется отделом бухгалтерского учета, организации и проведения конкурсов и аукционов (далее – бухгалтерия), возглавляемым начальником отдела – главным бухгалтером. Деятельность бухгалтерии регламентируется должностными регламентами сотрудников. Касса для выдачи наличных денежных средств в учреждении отсутствует. Все расчеты осуществляются в безналичном порядке."""</w:t>
            </w:r>
          </w:p>
        </w:tc>
      </w:tr>
      <w:tr>
        <w:tc>
          <w:tcPr/>
          <w:p>
            <w:pPr>
              <w:pStyle w:val="Compact"/>
            </w:pPr>
          </w:p>
        </w:tc>
      </w:tr>
      <w:tr>
        <w:tc>
          <w:tcPr/>
          <w:p>
            <w:pPr>
              <w:jc w:val="left"/>
            </w:pPr>
            <w:r>
              <w:rPr>
                <w:bCs/>
                <w:b/>
              </w:rPr>
              <w:t xml:space="preserve">Прочая информация</w:t>
            </w:r>
          </w:p>
        </w:tc>
      </w:tr>
      <w:tr>
        <w:tc>
          <w:tcPr/>
          <w:p>
            <w:pPr>
              <w:jc w:val="left"/>
            </w:pPr>
            <w:r>
              <w:t xml:space="preserve">В ведомственном подчинении управы находится 2 учреждения – 2 типа учреждений:1. Государственное казенное учреждение - ГКУ «ИС Красносельского района» -учреждение ликвидировано в 1 кв. 2022г.,2. Государственное бюджетное учреждение ГБУ «Жилищник Красносельского района. Учредителем учреждений является префектура Центрального административного округа города Москвы. Учреждения имеют обособленное имущество, самостоятельный баланс, лицевой счет, печать со своим наименованием, бланки, штампы. Учреждения осуществляют свою деятельность в соответствии с законами и иными нормативными правовыми актами Российской Федерации, а также уставом. Учреждения созданы для оказания (выполнения) государственных услуг, работ и государственных функций в сфере функционирования жилищно-коммунального хозяйства и благоустройства города Москвы.</w:t>
            </w:r>
          </w:p>
        </w:tc>
      </w:tr>
      <w:tr>
        <w:tc>
          <w:tcPr/>
          <w:p>
            <w:pPr>
              <w:pStyle w:val="Compact"/>
            </w:pPr>
          </w:p>
        </w:tc>
      </w:tr>
      <w:tr>
        <w:tc>
          <w:tcPr/>
          <w:p>
            <w:pPr>
              <w:pStyle w:val="Compact"/>
            </w:pPr>
          </w:p>
        </w:tc>
      </w:tr>
    </w:tbl>
    <w:p>
      <w:pPr>
        <w:pStyle w:val="BodyText"/>
      </w:pPr>
      <w:r>
        <w:rPr>
          <w:bCs/>
          <w:b/>
        </w:rPr>
        <w:t xml:space="preserve">Раздел 2 «Результаты деятельности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оказавшая существенное влияние и характеризующая результаты деятельности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В управе Красносельского района города Москвы проводится систематический контроль за составлением заключенных договоров, контролируется составление заключаемых договоров в пределах утвержденных лимитов бюджетных обязательств и законностью совершаемых операций, проводится анализ соответствия кассовых расходов с производимыми фактическими расходами, проводится проверка составления перечня и номенклатуры полученных товаров (работ, услуг) и номенклатуры оплачиваемых товаров (работ, услуг) согласно договора. Заключение государственных контрактов на поставки товаров, выполнение работ, оказание услуг для государственных нужд округа осуществлялось в пределах утвержденных бюджетных ассигнований в соответствии с утвержденной бюджетной сметой учреждения.</w:t>
            </w:r>
          </w:p>
        </w:tc>
      </w:tr>
      <w:tr>
        <w:tc>
          <w:tcPr/>
          <w:p>
            <w:pPr>
              <w:pStyle w:val="Compact"/>
            </w:pPr>
          </w:p>
        </w:tc>
      </w:tr>
      <w:tr>
        <w:tc>
          <w:tcPr/>
          <w:p>
            <w:pPr>
              <w:jc w:val="left"/>
            </w:pPr>
            <w:r>
              <w:rPr>
                <w:bCs/>
                <w:b/>
              </w:rPr>
              <w:t xml:space="preserve">Иная информация о результатах деятельности субъекта бюджетной отчетности</w:t>
            </w:r>
          </w:p>
        </w:tc>
      </w:tr>
      <w:tr>
        <w:tc>
          <w:tcPr/>
          <w:p>
            <w:pPr>
              <w:jc w:val="left"/>
            </w:pPr>
            <w:r>
              <w:t xml:space="preserve">Иная информация отсутствует</w:t>
            </w:r>
          </w:p>
        </w:tc>
      </w:tr>
      <w:tr>
        <w:tc>
          <w:tcPr/>
          <w:p>
            <w:pPr>
              <w:pStyle w:val="Compact"/>
            </w:pPr>
          </w:p>
        </w:tc>
      </w:tr>
      <w:tr>
        <w:tc>
          <w:tcPr/>
          <w:p>
            <w:pPr>
              <w:pStyle w:val="Compact"/>
            </w:pPr>
          </w:p>
        </w:tc>
      </w:tr>
    </w:tbl>
    <w:p>
      <w:pPr>
        <w:pStyle w:val="BodyText"/>
      </w:pPr>
      <w:r>
        <w:rPr>
          <w:bCs/>
          <w:b/>
        </w:rPr>
        <w:t xml:space="preserve">Раздел 3 «Анализ отчета об исполнении бюджета субъектом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принятых субъектом отчетности обязательствах (денежных обязательствах), исполнение которых предусмотрено в соответствующих финансовых годах, следующих за отчетным годом (на основании ф. 0503128)</w:t>
            </w:r>
          </w:p>
        </w:tc>
      </w:tr>
      <w:tr>
        <w:tc>
          <w:tcPr/>
          <w:p>
            <w:pPr>
              <w:jc w:val="left"/>
            </w:pPr>
            <w:r>
              <w:t xml:space="preserve">Приняты в прошлом году (в 2021 г) бюджетные обязательства на 2023 год по расходам: автотранспортные услуги для нужд управы, эксплуатационные услуги здания управы, радиотелефонная связь сотрудников подразделения ГУ МВД. В отчетном периоде бюджетные и денежные обязательства на следующие года, действующие за отчетным годом не принимались.</w:t>
            </w:r>
          </w:p>
        </w:tc>
      </w:tr>
      <w:tr>
        <w:tc>
          <w:tcPr/>
          <w:p>
            <w:pPr>
              <w:pStyle w:val="Compact"/>
            </w:pPr>
          </w:p>
        </w:tc>
      </w:tr>
      <w:tr>
        <w:tc>
          <w:tcPr/>
          <w:p>
            <w:pPr>
              <w:jc w:val="left"/>
            </w:pPr>
            <w:r>
              <w:rPr>
                <w:bCs/>
                <w:b/>
              </w:rPr>
              <w:t xml:space="preserve">Информация о принятии бюджетных обязательств (денежных обязательств) сверх утвержденного субъекту бюджетной отчетности на финансовый год объема бюджетных ассигнований и (или) лимитов бюджетных обязательств (на основании ф. 0503128, а так же в составе годовой отчетности на основании ф. 0503175)</w:t>
            </w:r>
          </w:p>
        </w:tc>
      </w:tr>
      <w:tr>
        <w:tc>
          <w:tcPr/>
          <w:p>
            <w:pPr>
              <w:jc w:val="left"/>
            </w:pPr>
            <w:r>
              <w:t xml:space="preserve">За отчетный период управа не принимала бюджетные (денежные) обязательства сверх утвержденных бюджетных ассигнований на текущий год.</w:t>
            </w:r>
          </w:p>
        </w:tc>
      </w:tr>
      <w:tr>
        <w:tc>
          <w:tcPr/>
          <w:p>
            <w:pPr>
              <w:pStyle w:val="Compact"/>
            </w:pPr>
          </w:p>
        </w:tc>
      </w:tr>
      <w:tr>
        <w:tc>
          <w:tcPr/>
          <w:p>
            <w:pPr>
              <w:jc w:val="left"/>
            </w:pPr>
            <w:r>
              <w:rPr>
                <w:bCs/>
                <w:b/>
              </w:rPr>
              <w:t xml:space="preserve">Сведения, раскрывающие информацию о ходе реализации государственными (муниципальными) бюджетными и автономными учреждениями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за счет средств субсидии на иные цели и субсидии на цели осуществления капитальных вложений, с указанием причин образования остатков средств целевых субсидий</w:t>
            </w:r>
          </w:p>
        </w:tc>
      </w:tr>
      <w:tr>
        <w:tc>
          <w:tcPr/>
          <w:p>
            <w:pPr>
              <w:jc w:val="left"/>
            </w:pPr>
            <w:r>
              <w:t xml:space="preserve">Национальные проекты отсутствуют</w:t>
            </w:r>
          </w:p>
        </w:tc>
      </w:tr>
      <w:tr>
        <w:tc>
          <w:tcPr/>
          <w:p>
            <w:pPr>
              <w:pStyle w:val="Compact"/>
            </w:pPr>
          </w:p>
        </w:tc>
      </w:tr>
      <w:tr>
        <w:tc>
          <w:tcPr/>
          <w:p>
            <w:pPr>
              <w:jc w:val="left"/>
            </w:pPr>
            <w:r>
              <w:rPr>
                <w:bCs/>
                <w:b/>
              </w:rPr>
              <w:t xml:space="preserve">Информация, раскрывающая данные о неисполненных принятых бюджетных обязательствах и денежных обязательствах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(на основании ф. 0503128-НП)</w:t>
            </w:r>
          </w:p>
        </w:tc>
      </w:tr>
      <w:tr>
        <w:tc>
          <w:tcPr/>
          <w:p>
            <w:pPr>
              <w:jc w:val="left"/>
            </w:pPr>
            <w:r>
              <w:t xml:space="preserve">Национальные проекты отсутствуют</w:t>
            </w:r>
          </w:p>
        </w:tc>
      </w:tr>
      <w:tr>
        <w:tc>
          <w:tcPr/>
          <w:p>
            <w:pPr>
              <w:pStyle w:val="Compact"/>
            </w:pPr>
          </w:p>
        </w:tc>
      </w:tr>
      <w:tr>
        <w:tc>
          <w:tcPr/>
          <w:p>
            <w:pPr>
              <w:jc w:val="left"/>
            </w:pPr>
            <w:r>
              <w:rPr>
                <w:bCs/>
                <w:b/>
              </w:rPr>
              <w:t xml:space="preserve">Информация о сумме курсовой разницы, отраженной в ф. 0503127 в разрезе следующих показателей:- положительная курсовая разница;- отрицательная курсовая разница;- начисленная по доходам или расходам;- наименование контрагентов и мероприятий, по которым осуществляются расчеты в иностранной валюте</w:t>
            </w:r>
          </w:p>
        </w:tc>
      </w:tr>
      <w:tr>
        <w:tc>
          <w:tcPr/>
          <w:p>
            <w:pPr>
              <w:jc w:val="left"/>
            </w:pPr>
            <w:r>
              <w:t xml:space="preserve">Курсовая разница отсутствует</w:t>
            </w:r>
          </w:p>
        </w:tc>
      </w:tr>
      <w:tr>
        <w:tc>
          <w:tcPr/>
          <w:p>
            <w:pPr>
              <w:pStyle w:val="Compact"/>
            </w:pPr>
          </w:p>
        </w:tc>
      </w:tr>
      <w:tr>
        <w:tc>
          <w:tcPr/>
          <w:p>
            <w:pPr>
              <w:jc w:val="left"/>
            </w:pPr>
            <w:r>
              <w:rPr>
                <w:bCs/>
                <w:b/>
              </w:rPr>
              <w:t xml:space="preserve">Иная информация, оказавшая существенное влияние и характеризующая результаты исполнения бюджета субъектом бюджетной отчетности, не отраженная в таблицах и приложениях</w:t>
            </w:r>
          </w:p>
        </w:tc>
      </w:tr>
      <w:tr>
        <w:tc>
          <w:tcPr/>
          <w:p>
            <w:pPr>
              <w:jc w:val="left"/>
            </w:pPr>
            <w:r>
              <w:t xml:space="preserve">Прочая информация отсутствует</w:t>
            </w:r>
          </w:p>
        </w:tc>
      </w:tr>
      <w:tr>
        <w:tc>
          <w:tcPr/>
          <w:p>
            <w:pPr>
              <w:pStyle w:val="Compact"/>
            </w:pPr>
          </w:p>
        </w:tc>
      </w:tr>
      <w:tr>
        <w:tc>
          <w:tcPr/>
          <w:p>
            <w:pPr>
              <w:pStyle w:val="Compact"/>
            </w:pPr>
          </w:p>
        </w:tc>
      </w:tr>
    </w:tbl>
    <w:p>
      <w:pPr>
        <w:pStyle w:val="BodyText"/>
      </w:pPr>
      <w:r>
        <w:rPr>
          <w:bCs/>
          <w:b/>
        </w:rPr>
        <w:t xml:space="preserve">Раздел 4 «Анализ показателей бухгалтерской отчетности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причинах увеличения дебиторской и кредиторской задолженности, в том числе просроченной, по состоянию на отчетную дату в сравнении с данными за аналогичный отчетный период прошлого финансового года</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Анализ остатков дебиторской (кредиторской) задолженности, в том числе просроченной на конец отчетного периода (на основании ф. 0503169).</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Информация по показателям, отраженным со знаком «минус» в ф. 0503169 по увеличению и (или) уменьшению дебиторской (кредиторской) задолженности</w:t>
            </w:r>
          </w:p>
        </w:tc>
      </w:tr>
      <w:tr>
        <w:tc>
          <w:tcPr/>
          <w:p>
            <w:pPr>
              <w:jc w:val="left"/>
            </w:pPr>
            <w:r>
              <w:t xml:space="preserve">Показатели отраженные со знаком "минус" в ф. 0503169 по увеличению и (или) уменьшению дебиторской(кредиторской) задолженности на 01.10.2022г. -отсутствуют.</w:t>
            </w:r>
          </w:p>
        </w:tc>
      </w:tr>
      <w:tr>
        <w:tc>
          <w:tcPr/>
          <w:p>
            <w:pPr>
              <w:pStyle w:val="Compact"/>
            </w:pPr>
          </w:p>
        </w:tc>
      </w:tr>
      <w:tr>
        <w:tc>
          <w:tcPr/>
          <w:p>
            <w:pPr>
              <w:jc w:val="left"/>
            </w:pPr>
            <w:r>
              <w:rPr>
                <w:bCs/>
                <w:b/>
              </w:rPr>
              <w:t xml:space="preserve">Информация о выявленных недостачах денежных средств и денежных документов, а так же принимаемые меры для обеспечения их сохранности</w:t>
            </w:r>
          </w:p>
        </w:tc>
      </w:tr>
      <w:tr>
        <w:tc>
          <w:tcPr/>
          <w:p>
            <w:pPr>
              <w:jc w:val="left"/>
            </w:pPr>
            <w:r>
              <w:t xml:space="preserve">Недостач денежных средств в отчетном периоде не выявлено</w:t>
            </w:r>
          </w:p>
        </w:tc>
      </w:tr>
      <w:tr>
        <w:tc>
          <w:tcPr/>
          <w:p>
            <w:pPr>
              <w:pStyle w:val="Compact"/>
            </w:pPr>
          </w:p>
        </w:tc>
      </w:tr>
      <w:tr>
        <w:tc>
          <w:tcPr/>
          <w:p>
            <w:pPr>
              <w:jc w:val="left"/>
            </w:pPr>
            <w:r>
              <w:rPr>
                <w:bCs/>
                <w:b/>
              </w:rPr>
              <w:t xml:space="preserve">Информация о просроченной дебиторской (кредиторской) задолженности, отраженной в ф. 0503169 с кодом причин: 05 - иные причины возникновения просроченной кредиторской задолженности; 89 - иные причины возникновения просроченной дебиторской задолженности</w:t>
            </w:r>
          </w:p>
        </w:tc>
      </w:tr>
      <w:tr>
        <w:tc>
          <w:tcPr/>
          <w:p>
            <w:pPr>
              <w:jc w:val="left"/>
            </w:pPr>
            <w:r>
              <w:t xml:space="preserve">Просроченная дебиторская(кредиторская) задолженность отсутствует</w:t>
            </w:r>
          </w:p>
        </w:tc>
      </w:tr>
      <w:tr>
        <w:tc>
          <w:tcPr/>
          <w:p>
            <w:pPr>
              <w:pStyle w:val="Compact"/>
            </w:pPr>
          </w:p>
        </w:tc>
      </w:tr>
      <w:tr>
        <w:tc>
          <w:tcPr/>
          <w:p>
            <w:pPr>
              <w:jc w:val="left"/>
            </w:pPr>
            <w:r>
              <w:rPr>
                <w:bCs/>
                <w:b/>
              </w:rPr>
              <w:t xml:space="preserve">Информация о суммах изменений вступительного баланса в отчетном периоде в связи с внедрением федеральных стандартов бухгалтерского учета государственных финансов, отраженных в ф. 0503173 по коду причины «02»</w:t>
            </w:r>
          </w:p>
        </w:tc>
      </w:tr>
      <w:tr>
        <w:tc>
          <w:tcPr/>
          <w:p>
            <w:pPr>
              <w:jc w:val="left"/>
            </w:pPr>
            <w:r>
              <w:t xml:space="preserve">Изменение вступительного баланса в отчетном периоде не производилось</w:t>
            </w:r>
          </w:p>
        </w:tc>
      </w:tr>
      <w:tr>
        <w:tc>
          <w:tcPr/>
          <w:p>
            <w:pPr>
              <w:pStyle w:val="Compact"/>
            </w:pPr>
          </w:p>
        </w:tc>
      </w:tr>
      <w:tr>
        <w:tc>
          <w:tcPr/>
          <w:p>
            <w:pPr>
              <w:jc w:val="left"/>
            </w:pPr>
            <w:r>
              <w:rPr>
                <w:bCs/>
                <w:b/>
              </w:rPr>
              <w:t xml:space="preserve">Информация об ошибках предшествующих годов, отраженных после утверждения бухгалтерской отчетности в ф. 0503173 по кодам причин «03» и «07»:- описание ошибки;- сумма корректировки по каждой статье бухгалтерской отчетности за каждый из предшествующих годов, для которых в бухгалтерской отчетности раскрываются сравнительные показатели;- общая сумма корректировки на начало самого раннего из предшествующих годов, для которого в бухгалтерской отчетности раскрываются сравнительные показатели;- описание причин, по которым корректировка сравнительных показателей бухгалтерской отчетности за один или несколько предшествующих годов не представляется возможным, а также способа отражения исправления ошибки с указанием периода, в котором отражены исправления</w:t>
            </w:r>
          </w:p>
        </w:tc>
      </w:tr>
      <w:tr>
        <w:tc>
          <w:tcPr/>
          <w:p>
            <w:pPr>
              <w:jc w:val="left"/>
            </w:pPr>
            <w:r>
              <w:t xml:space="preserve">Ошибки предшествующих годов в отчетном периоде не выявлены</w:t>
            </w:r>
          </w:p>
        </w:tc>
      </w:tr>
      <w:tr>
        <w:tc>
          <w:tcPr/>
          <w:p>
            <w:pPr>
              <w:pStyle w:val="Compact"/>
            </w:pPr>
          </w:p>
        </w:tc>
      </w:tr>
      <w:tr>
        <w:tc>
          <w:tcPr/>
          <w:p>
            <w:pPr>
              <w:jc w:val="left"/>
            </w:pPr>
            <w:r>
              <w:rPr>
                <w:bCs/>
                <w:b/>
              </w:rPr>
              <w:t xml:space="preserve">Информация о суммах корректировок, связанных с ретроспективным применением измененной учетной политики с указанием обоснования и содержания ее изменения, порядок отражения последствий изменений в отчетности, включая указание на обстоятельства, в связи с которыми применяется выбранный способ ведения бухгалтерского учета, и дату, с которой он применяется по показателям, отраженным по коду причины «04» в ф. 0503173; 2. Информация о суммах корректировок при ретроспективном применении измененной учетной политики, раскрывающая:- суммы корректировок по каждой статье бухгалтерской отчетности за каждый из предшествующих годов, для которых в бухгалтерской отчетности раскрываются сравнительные показатели;- суммы корректировок, относящихся к годам, предшествующим тем, для которых в отчетности субъекта учета раскрываются сравнительные показатели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показателям, отраженным по коду причины 06 «Иные причины» в ф. 0503173</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(целях) открытия счетов в кредитных организациях, о причинах образования остатка денежных средств на счетах, а также обоснование необходимости наличия банковских счетов в случае отсутствия по ним операций в течении 2-х и более лет (на основании ф. 0503178-бюджетная деятельность)</w:t>
            </w:r>
          </w:p>
        </w:tc>
      </w:tr>
      <w:tr>
        <w:tc>
          <w:tcPr/>
          <w:p>
            <w:pPr>
              <w:jc w:val="left"/>
            </w:pPr>
            <w:r>
              <w:t xml:space="preserve">остатков на счете нет</w:t>
            </w:r>
          </w:p>
        </w:tc>
      </w:tr>
      <w:tr>
        <w:tc>
          <w:tcPr/>
          <w:p>
            <w:pPr>
              <w:pStyle w:val="Compact"/>
            </w:pPr>
          </w:p>
        </w:tc>
      </w:tr>
      <w:tr>
        <w:tc>
          <w:tcPr/>
          <w:p>
            <w:pPr>
              <w:jc w:val="left"/>
            </w:pPr>
            <w:r>
              <w:rPr>
                <w:bCs/>
                <w:b/>
              </w:rPr>
              <w:t xml:space="preserve">Информация, о причинах (целях) открытия счетов в кредитных организациях, о причинах образования остатка денежных средств на счетах в кредитной организации (на основании ф. 0503178-средства во временном распоряжении)</w:t>
            </w:r>
          </w:p>
        </w:tc>
      </w:tr>
      <w:tr>
        <w:tc>
          <w:tcPr/>
          <w:p>
            <w:pPr>
              <w:jc w:val="left"/>
            </w:pPr>
            <w:r>
              <w:t xml:space="preserve">остаток на 01.10.2022 года по средствам во временном распоряжении составил 1 757 066,57. За отчетный период произведен возврат средств поставщику в сумме 100 968,51 руб. , поступило обеспечение 12 167,50 руб. Остаток образовался по неисполненным контактам и неизвестным (невостребованным)поставщикам.</w:t>
            </w:r>
          </w:p>
        </w:tc>
      </w:tr>
      <w:tr>
        <w:tc>
          <w:tcPr/>
          <w:p>
            <w:pPr>
              <w:pStyle w:val="Compact"/>
            </w:pPr>
          </w:p>
        </w:tc>
      </w:tr>
      <w:tr>
        <w:tc>
          <w:tcPr/>
          <w:p>
            <w:pPr>
              <w:jc w:val="left"/>
            </w:pPr>
            <w:r>
              <w:rPr>
                <w:bCs/>
                <w:b/>
              </w:rPr>
              <w:t xml:space="preserve">Информация по остаткам отраженным по счету бюджетного учета 120134000 «Касса»</w:t>
            </w:r>
          </w:p>
        </w:tc>
      </w:tr>
      <w:tr>
        <w:tc>
          <w:tcPr/>
          <w:p>
            <w:pPr>
              <w:jc w:val="left"/>
            </w:pPr>
            <w:r>
              <w:t xml:space="preserve">остатки по кассе отсутствуют</w:t>
            </w:r>
          </w:p>
        </w:tc>
      </w:tr>
      <w:tr>
        <w:tc>
          <w:tcPr/>
          <w:p>
            <w:pPr>
              <w:pStyle w:val="Compact"/>
            </w:pPr>
          </w:p>
        </w:tc>
      </w:tr>
      <w:tr>
        <w:tc>
          <w:tcPr/>
          <w:p>
            <w:pPr>
              <w:jc w:val="left"/>
            </w:pPr>
            <w:r>
              <w:rPr>
                <w:bCs/>
                <w:b/>
              </w:rPr>
              <w:t xml:space="preserve">Информация о суммах:- дебиторской задолженности, признанной по необменным операциям;- изменений доходов будущих периодов по видам доходов;- обязательств по авансовым поступлениям</w:t>
            </w:r>
          </w:p>
        </w:tc>
      </w:tr>
      <w:tr>
        <w:tc>
          <w:tcPr/>
          <w:p>
            <w:pPr>
              <w:jc w:val="left"/>
            </w:pPr>
            <w:r>
              <w:t xml:space="preserve">Информация отражена в ф. 0503169 и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Информация об объектах учета выплат персоналу: - о сумме задолженности по текущим выплатам персоналу на начало и конец отчетного периода;- о сумме резерва предстоящих расходов по выплатам персоналу (отложенных выплат персоналу) на начало и конец отчетного периода по каждому виду обязанностей по выплатам персоналу</w:t>
            </w:r>
          </w:p>
        </w:tc>
      </w:tr>
      <w:tr>
        <w:tc>
          <w:tcPr/>
          <w:p>
            <w:pPr>
              <w:jc w:val="left"/>
            </w:pPr>
            <w:r>
              <w:t xml:space="preserve">По состоянию на 01.10.2022г. сумма задолженности перед персоналом отсутствует. Сформирован резерв предстоящих расходов по выплатам персоналу по отпускам и взносам на отпуска, сумма резерва на начало года составила: по отпускам- 7 115 140,93 руб., по взносам - 463 530,27 руб. По состоянию на 01.10.2022 по отпускам - 7 134 514,82 руб., по взносам - 167 133,34 руб.</w:t>
            </w:r>
          </w:p>
        </w:tc>
      </w:tr>
      <w:tr>
        <w:tc>
          <w:tcPr/>
          <w:p>
            <w:pPr>
              <w:pStyle w:val="Compact"/>
            </w:pPr>
          </w:p>
        </w:tc>
      </w:tr>
      <w:tr>
        <w:tc>
          <w:tcPr/>
          <w:p>
            <w:pPr>
              <w:jc w:val="left"/>
            </w:pPr>
            <w:r>
              <w:rPr>
                <w:bCs/>
                <w:b/>
              </w:rPr>
              <w:t xml:space="preserve">Информация о сумме корректировок (увеличений, уменьшений) величины резерва предстоящих расходов по выплатам персоналу (отложенных выплат персоналу) по каждому виду отложенных выплат персоналу в структуре оснований: - признание объектов учета отложенных выплат персоналу; - признание объектов учета текущих выплат персоналу за счет сумм ранее признанного резерва; - корректировка резерва в части избыточно начисленных сумм резерва</w:t>
            </w:r>
          </w:p>
        </w:tc>
      </w:tr>
      <w:tr>
        <w:tc>
          <w:tcPr/>
          <w:p>
            <w:pPr>
              <w:jc w:val="left"/>
            </w:pPr>
            <w:r>
              <w:t xml:space="preserve">Корректировка резерва за 3 квартал 2022 года составила: начислен резерв по отпускам в сумме 1 063 947,16 руб.уменьшение резерва за счет начисления отпуска в сумме 227 670,79 руб.; по страховым взносам начислен резерв в сумме 194 164,93 руб., уменьшение на сумму 67 662,94 руб. Динамика изменения резервов по отношению к началу году за 9 месяцев 2022 года составила : плюс 962 778,36 руб. В конце года будет произведена корректировка резервов.</w:t>
            </w:r>
          </w:p>
        </w:tc>
      </w:tr>
      <w:tr>
        <w:tc>
          <w:tcPr/>
          <w:p>
            <w:pPr>
              <w:pStyle w:val="Compact"/>
            </w:pPr>
          </w:p>
        </w:tc>
      </w:tr>
      <w:tr>
        <w:tc>
          <w:tcPr/>
          <w:p>
            <w:pPr>
              <w:jc w:val="left"/>
            </w:pPr>
            <w:r>
              <w:rPr>
                <w:bCs/>
                <w:b/>
              </w:rPr>
              <w:t xml:space="preserve">Информация о пенсионных и иных аналогичных выплатах на плановый период</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(пояснения) о некассовых операциях, отраженных в Отчете (ф. 0503127) (характеристика операций)</w:t>
            </w:r>
          </w:p>
        </w:tc>
      </w:tr>
      <w:tr>
        <w:tc>
          <w:tcPr/>
          <w:p>
            <w:pPr>
              <w:jc w:val="left"/>
            </w:pPr>
            <w:r>
              <w:t xml:space="preserve">Некассовое операции в отчетном периоде отсутствуют</w:t>
            </w:r>
          </w:p>
        </w:tc>
      </w:tr>
      <w:tr>
        <w:tc>
          <w:tcPr/>
          <w:p>
            <w:pPr>
              <w:pStyle w:val="Compact"/>
            </w:pPr>
          </w:p>
        </w:tc>
      </w:tr>
      <w:tr>
        <w:tc>
          <w:tcPr/>
          <w:p>
            <w:pPr>
              <w:jc w:val="left"/>
            </w:pPr>
            <w:r>
              <w:rPr>
                <w:bCs/>
                <w:b/>
              </w:rPr>
              <w:t xml:space="preserve">Иная информация, характеризующая показатели бухгалтерской отчетности субъекта бюджетной отчетности, не нашедшая отражения в таблицах и приложениях</w:t>
            </w:r>
          </w:p>
        </w:tc>
      </w:tr>
      <w:tr>
        <w:tc>
          <w:tcPr/>
          <w:p>
            <w:pPr>
              <w:jc w:val="left"/>
            </w:pPr>
            <w:r>
              <w:t xml:space="preserve">Иная информация отсутствует</w:t>
            </w:r>
          </w:p>
        </w:tc>
      </w:tr>
      <w:tr>
        <w:tc>
          <w:tcPr/>
          <w:p>
            <w:pPr>
              <w:pStyle w:val="Compact"/>
            </w:pPr>
          </w:p>
        </w:tc>
      </w:tr>
      <w:tr>
        <w:tc>
          <w:tcPr/>
          <w:p>
            <w:pPr>
              <w:pStyle w:val="Compact"/>
            </w:pPr>
          </w:p>
        </w:tc>
      </w:tr>
    </w:tbl>
    <w:p>
      <w:pPr>
        <w:pStyle w:val="BodyText"/>
      </w:pPr>
      <w:r>
        <w:rPr>
          <w:bCs/>
          <w:b/>
        </w:rPr>
        <w:t xml:space="preserve">Раздел 5 «Прочие вопросы деятельности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Перечень правовых актов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ведение бюджетного (бухгалтерского) учета и составление отчетности</w:t>
            </w:r>
          </w:p>
        </w:tc>
      </w:tr>
      <w:tr>
        <w:tc>
          <w:tcPr/>
          <w:p>
            <w:pPr>
              <w:jc w:val="left"/>
            </w:pPr>
            <w:r>
              <w:t xml:space="preserve">Федеральный закон от 06.12.2011 N 402-ФЗ ""О бухгалтерском учете""; Приказ Минфина РФ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 Минфина РФ от 16.12.2010 N 174н ""Об утверждении Плана счетов бухгалтерского учета бюджетных учреждений и Инструкции по его применению""; 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Приказ Минфина России от 31.12.2016 N 258н ""Об утверждении федерального стандарта бухгалтерского учета для организаций государственного сектора ""Аренда""; 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Приказ Минфина РФ от 25.03.2011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Приказ Минфина России от 01.07.2013 N 65н ""Об утверждении Указаний о порядке применения бюджетной классификации Российской Федерации"". Письма департамента финансов.</w:t>
            </w:r>
          </w:p>
        </w:tc>
      </w:tr>
      <w:tr>
        <w:tc>
          <w:tcPr/>
          <w:p>
            <w:pPr>
              <w:pStyle w:val="Compact"/>
            </w:pPr>
          </w:p>
        </w:tc>
      </w:tr>
      <w:tr>
        <w:tc>
          <w:tcPr/>
          <w:p>
            <w:pPr>
              <w:jc w:val="left"/>
            </w:pPr>
            <w:r>
              <w:rPr>
                <w:bCs/>
                <w:b/>
              </w:rPr>
              <w:t xml:space="preserve">Информация о событиях, произошедших в период между отчетной датой и датой утверждения бухгалтерской отчетности по долговым обязательствам, классифицированным как краткосрочные:- рефинансирование на долгосрочный период;- устранение нарушения соглашения о долгосрочном финансировании;- получение от кредитора отсрочки исполнения обязательств на период, оканчивающийся не ранее чем через 12 месяцев после отчетной даты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задолженности по исполнительным документам и правовом основании ее возникновения, отраженная в ф. 0503296 с указанием причин неисполнения обязательств, в том числе по КОСГУ 296, КОСГУ 297</w:t>
            </w:r>
          </w:p>
        </w:tc>
      </w:tr>
      <w:tr>
        <w:tc>
          <w:tcPr/>
          <w:p>
            <w:pPr>
              <w:jc w:val="left"/>
            </w:pPr>
            <w:r>
              <w:t xml:space="preserve">Исполнительные документы в отчетном периоде не поступали</w:t>
            </w:r>
          </w:p>
        </w:tc>
      </w:tr>
      <w:tr>
        <w:tc>
          <w:tcPr/>
          <w:p>
            <w:pPr>
              <w:pStyle w:val="Compact"/>
            </w:pPr>
          </w:p>
        </w:tc>
      </w:tr>
      <w:tr>
        <w:tc>
          <w:tcPr/>
          <w:p>
            <w:pPr>
              <w:jc w:val="left"/>
            </w:pPr>
            <w:r>
              <w:rPr>
                <w:bCs/>
                <w:b/>
              </w:rPr>
              <w:t xml:space="preserve">Информация о просроченной кредиторской задолженности отраженная в ф. 0503387 «Справочная таблица к отчету об исполнении консолидированного бюджета субъекта Российской Федерации»</w:t>
            </w:r>
          </w:p>
        </w:tc>
      </w:tr>
      <w:tr>
        <w:tc>
          <w:tcPr/>
          <w:p>
            <w:pPr>
              <w:jc w:val="left"/>
            </w:pPr>
            <w:r>
              <w:t xml:space="preserve">Просроченная кредиторская задолженность в отчетном периоде отсутствует</w:t>
            </w:r>
          </w:p>
        </w:tc>
      </w:tr>
      <w:tr>
        <w:tc>
          <w:tcPr/>
          <w:p>
            <w:pPr>
              <w:pStyle w:val="Compact"/>
            </w:pPr>
          </w:p>
        </w:tc>
      </w:tr>
      <w:tr>
        <w:tc>
          <w:tcPr/>
          <w:p>
            <w:pPr>
              <w:jc w:val="left"/>
            </w:pPr>
            <w:r>
              <w:rPr>
                <w:bCs/>
                <w:b/>
              </w:rPr>
              <w:t xml:space="preserve">Иная информация отраженная в ф. 0503387 «Справочная таблица к отчету об исполнении консолидированного бюджета субъекта Российской Федерации» и требующая пояснения</w:t>
            </w:r>
          </w:p>
        </w:tc>
      </w:tr>
      <w:tr>
        <w:tc>
          <w:tcPr/>
          <w:p>
            <w:pPr>
              <w:jc w:val="left"/>
            </w:pPr>
            <w:r>
              <w:t xml:space="preserve">Информация, требующая пояснения к форме, отсутствует.</w:t>
            </w:r>
          </w:p>
        </w:tc>
      </w:tr>
      <w:tr>
        <w:tc>
          <w:tcPr/>
          <w:p>
            <w:pPr>
              <w:pStyle w:val="Compact"/>
            </w:pPr>
          </w:p>
        </w:tc>
      </w:tr>
      <w:tr>
        <w:tc>
          <w:tcPr/>
          <w:p>
            <w:pPr>
              <w:jc w:val="left"/>
            </w:pPr>
            <w:r>
              <w:rPr>
                <w:bCs/>
                <w:b/>
              </w:rPr>
              <w:t xml:space="preserve">Информация о причинах наличия допустимых отклонений показателей отчета ф.0503324 данным, отраженным в Отчете ф. 0531888, формируемом Управлением Федерального казначейства по г. Москве</w:t>
            </w:r>
          </w:p>
        </w:tc>
      </w:tr>
      <w:tr>
        <w:tc>
          <w:tcPr/>
          <w:p>
            <w:pPr>
              <w:jc w:val="left"/>
            </w:pPr>
            <w:r>
              <w:t xml:space="preserve">Допустимые отклонения отсутствуют</w:t>
            </w:r>
          </w:p>
        </w:tc>
      </w:tr>
      <w:tr>
        <w:tc>
          <w:tcPr/>
          <w:p>
            <w:pPr>
              <w:pStyle w:val="Compact"/>
            </w:pPr>
          </w:p>
        </w:tc>
      </w:tr>
      <w:tr>
        <w:tc>
          <w:tcPr/>
          <w:p>
            <w:pPr>
              <w:jc w:val="left"/>
            </w:pPr>
            <w:r>
              <w:rPr>
                <w:bCs/>
                <w:b/>
              </w:rPr>
              <w:t xml:space="preserve">Информация о полученных межбюджетных трансфертах находящихся на отчетную дату на счете территориального органа Федерального казначейства, открытом на балансовом счете 40101 «Доходы, распределяемые органами Федерального казначейства между уровнями бюджетной системы Российской Федерации» (на основании ф. 0503184)</w:t>
            </w:r>
          </w:p>
        </w:tc>
      </w:tr>
      <w:tr>
        <w:tc>
          <w:tcPr/>
          <w:p>
            <w:pPr>
              <w:jc w:val="left"/>
            </w:pPr>
            <w:r>
              <w:t xml:space="preserve">Межбюджетные трансферты не поступали</w:t>
            </w:r>
          </w:p>
        </w:tc>
      </w:tr>
      <w:tr>
        <w:tc>
          <w:tcPr/>
          <w:p>
            <w:pPr>
              <w:pStyle w:val="Compact"/>
            </w:pPr>
          </w:p>
        </w:tc>
      </w:tr>
      <w:tr>
        <w:tc>
          <w:tcPr/>
          <w:p>
            <w:pPr>
              <w:jc w:val="left"/>
            </w:pPr>
            <w:r>
              <w:rPr>
                <w:bCs/>
                <w:b/>
              </w:rPr>
              <w:t xml:space="preserve">Иная информация о межбюджетных трансфертах за отчетный период, не нашедшая отражения в формах отчетов, таблицах и приложениях</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Сведения о правопреемственности по всем обязательствам реорганизуемого субъекта бюджетной отчетности в отношении всех кредиторов и должников, включая и обязательства, оспариваемые в суде, а также иная информация, характеризующая показатели бухгалтерской отчетности реорганизуемого субъекта бюджетной отчетности за отчетный период</w:t>
            </w:r>
          </w:p>
        </w:tc>
      </w:tr>
      <w:tr>
        <w:tc>
          <w:tcPr/>
          <w:p>
            <w:pPr>
              <w:jc w:val="left"/>
            </w:pPr>
            <w:r>
              <w:t xml:space="preserve">Реорганизация не проводилась</w:t>
            </w:r>
          </w:p>
        </w:tc>
      </w:tr>
      <w:tr>
        <w:tc>
          <w:tcPr/>
          <w:p>
            <w:pPr>
              <w:pStyle w:val="Compact"/>
            </w:pPr>
          </w:p>
        </w:tc>
      </w:tr>
      <w:tr>
        <w:tc>
          <w:tcPr/>
          <w:p>
            <w:pPr>
              <w:jc w:val="left"/>
            </w:pPr>
            <w:r>
              <w:rPr>
                <w:bCs/>
                <w:b/>
              </w:rPr>
              <w:t xml:space="preserve">Информация о вносимых изменениях в показатели ранее представленной бухгалтерской отчётности по решению уполномоченного органа в период после отчетной даты и до даты утверждения отчетности на основании выявленных ошибок и существенных событий после отчетной даты (с указанием причин внесения исправлений и их содержания) по ошибкам отчетного периода, выявленных в ходе камеральной проверки отчетности, а также в ходе осуществления внутреннего (внешнего) финансового контроля (аудита)</w:t>
            </w:r>
          </w:p>
        </w:tc>
      </w:tr>
      <w:tr>
        <w:tc>
          <w:tcPr/>
          <w:p>
            <w:pPr>
              <w:jc w:val="left"/>
            </w:pPr>
            <w:r>
              <w:t xml:space="preserve">Изменения в отчетном периоде в бухгалтерскую отчетность не вносились</w:t>
            </w:r>
          </w:p>
        </w:tc>
      </w:tr>
      <w:tr>
        <w:tc>
          <w:tcPr/>
          <w:p>
            <w:pPr>
              <w:pStyle w:val="Compact"/>
            </w:pPr>
          </w:p>
        </w:tc>
      </w:tr>
      <w:tr>
        <w:tc>
          <w:tcPr/>
          <w:p>
            <w:pPr>
              <w:jc w:val="left"/>
            </w:pPr>
            <w:r>
              <w:rPr>
                <w:bCs/>
                <w:b/>
              </w:rPr>
              <w:t xml:space="preserve">Информация об ошибке бухгалтерской отчетности, допущенной в текущем финансовом году (ошибка отчетного года) и выявленной после даты принятия (утверждения) квартальной бухгалтерской отчетности (информация о существенности ошибки, описание ошибки (содержания и суммы), а также суммовых значений выполненных корректировок бухгалтерской отчетности</w:t>
            </w:r>
          </w:p>
        </w:tc>
      </w:tr>
      <w:tr>
        <w:tc>
          <w:tcPr/>
          <w:p>
            <w:pPr>
              <w:jc w:val="left"/>
            </w:pPr>
            <w:r>
              <w:t xml:space="preserve">Ошибки бухгалтерской отчетности текущего года не обнаружены.</w:t>
            </w:r>
          </w:p>
        </w:tc>
      </w:tr>
      <w:tr>
        <w:tc>
          <w:tcPr/>
          <w:p>
            <w:pPr>
              <w:pStyle w:val="Compact"/>
            </w:pPr>
          </w:p>
        </w:tc>
      </w:tr>
      <w:tr>
        <w:tc>
          <w:tcPr/>
          <w:p>
            <w:pPr>
              <w:jc w:val="left"/>
            </w:pPr>
            <w:r>
              <w:rPr>
                <w:bCs/>
                <w:b/>
              </w:rPr>
              <w:t xml:space="preserve">Перечень форм отчетности, не включенных в состав бюджетной отчетности за отчетный период ввиду отсутствия числовых значений показателей (подлежит заполнению при отсутствии возможности формирования и (или) представления бюджетной отчетности средствами программных комплексов)</w:t>
            </w:r>
          </w:p>
        </w:tc>
      </w:tr>
      <w:tr>
        <w:tc>
          <w:tcPr/>
          <w:p>
            <w:pPr>
              <w:jc w:val="left"/>
            </w:pPr>
            <w:r>
              <w:t xml:space="preserve">Формы бюджетной отчетности, не имеющие числовых значений показателей и не содержащие пояснения, сформированы и представлены посредством модуля «Консолидированная бюджетная отчетность» автоматизированной информационной системы Департамента финансов города Москвы с указанием отметки «показатели отсутствуют»</w:t>
            </w:r>
          </w:p>
        </w:tc>
      </w:tr>
      <w:tr>
        <w:tc>
          <w:tcPr/>
          <w:p>
            <w:pPr>
              <w:pStyle w:val="Compact"/>
            </w:pPr>
          </w:p>
        </w:tc>
      </w:tr>
      <w:tr>
        <w:tc>
          <w:tcPr/>
          <w:p>
            <w:pPr>
              <w:jc w:val="left"/>
            </w:pPr>
            <w:r>
              <w:rPr>
                <w:bCs/>
                <w:b/>
              </w:rPr>
              <w:t xml:space="preserve">Информация по заимствованиям:- величина затрат, включенных в расходы текущего отчетного периода;- величина обязательств по затратам по заимствованиям на начало и конец отчетного периода;- величина затрат по заимствованиям, включенных в течение отчетного периода в первоначальную стоимость нефинансовых активов, создаваемых с привлечением заимствований</w:t>
            </w:r>
          </w:p>
        </w:tc>
      </w:tr>
      <w:tr>
        <w:tc>
          <w:tcPr/>
          <w:p>
            <w:pPr>
              <w:jc w:val="left"/>
            </w:pPr>
            <w:r>
              <w:t xml:space="preserve">Управой заимствования средств в отчетном периоде не производилось</w:t>
            </w:r>
          </w:p>
        </w:tc>
      </w:tr>
      <w:tr>
        <w:tc>
          <w:tcPr/>
          <w:p>
            <w:pPr>
              <w:pStyle w:val="Compact"/>
            </w:pPr>
          </w:p>
        </w:tc>
      </w:tr>
      <w:tr>
        <w:tc>
          <w:tcPr/>
          <w:p>
            <w:pPr>
              <w:jc w:val="left"/>
            </w:pPr>
            <w:r>
              <w:rPr>
                <w:bCs/>
                <w:b/>
              </w:rPr>
              <w:t xml:space="preserve">Иная финансовая и нефинансовая информация, оказавшая существенное влияние на результаты деятельности субъекта бюджетной отчетности и необходимая для понимания пользователями бухгалтерской отчетности финансового положения, финансовых результатов деятельности и движения денежных средств субъекта отчетности за отчетный период, также иная информация, характеризующая показатели бухгалтерской отчетности, не нашедшая отражения в таблицах и приложениях, включаемых в раздел</w:t>
            </w:r>
          </w:p>
        </w:tc>
      </w:tr>
      <w:tr>
        <w:tc>
          <w:tcPr/>
          <w:p>
            <w:pPr>
              <w:jc w:val="left"/>
            </w:pPr>
            <w:r>
              <w:t xml:space="preserve">Иная существенная информация отсутствует</w:t>
            </w:r>
          </w:p>
        </w:tc>
      </w:tr>
      <w:tr>
        <w:tc>
          <w:tcPr/>
          <w:p>
            <w:pPr>
              <w:pStyle w:val="Compact"/>
            </w:pPr>
          </w:p>
        </w:tc>
      </w:tr>
      <w:tr>
        <w:tc>
          <w:tcPr/>
          <w:p>
            <w:pPr>
              <w:pStyle w:val="Compact"/>
            </w:pPr>
          </w:p>
        </w:tc>
      </w:tr>
    </w:tbl>
    <w:p>
      <w:pPr>
        <w:pStyle w:val="BodyText"/>
      </w:pPr>
      <w:r>
        <w:br/>
      </w:r>
    </w:p>
    <w:p>
      <w:pPr>
        <w:pStyle w:val="BodyText"/>
      </w:pPr>
      <w:r>
        <w:rPr>
          <w:bCs/>
          <w:b/>
        </w:rPr>
        <w:t xml:space="preserve">Информация о причинах отклонений показателей представленных форм отчетности по внутридокументным контрольным соотношениям, установленным в автоматизированной информационной системе Департамента финансов (в части допустимых отклонений, требующих пояснений)</w:t>
      </w:r>
    </w:p>
    <w:tbl>
      <w:tblPr>
        <w:tblStyle w:val="Table"/>
        <w:tblW w:type="auto" w:w="0"/>
        <w:tblLook w:firstRow="0" w:lastRow="0" w:firstColumn="0" w:lastColumn="0" w:noHBand="0" w:noVBand="0" w:val="0000"/>
      </w:tblPr>
      <w:tblGrid>
        <w:gridCol w:w="880"/>
        <w:gridCol w:w="880"/>
        <w:gridCol w:w="880"/>
        <w:gridCol w:w="880"/>
        <w:gridCol w:w="880"/>
        <w:gridCol w:w="880"/>
        <w:gridCol w:w="880"/>
        <w:gridCol w:w="880"/>
        <w:gridCol w:w="880"/>
      </w:tblGrid>
      <w:tr>
        <w:tc>
          <w:tcPr/>
          <w:p>
            <w:pPr>
              <w:jc w:val="left"/>
            </w:pPr>
            <w:r>
              <w:rPr>
                <w:bCs/>
                <w:b/>
              </w:rPr>
              <w:t xml:space="preserve">Форма</w:t>
            </w:r>
          </w:p>
        </w:tc>
        <w:tc>
          <w:tcPr/>
          <w:p>
            <w:pPr>
              <w:jc w:val="left"/>
            </w:pPr>
            <w:r>
              <w:rPr>
                <w:bCs/>
                <w:b/>
              </w:rPr>
              <w:t xml:space="preserve">Атрибут</w:t>
            </w:r>
          </w:p>
        </w:tc>
        <w:tc>
          <w:tcPr/>
          <w:p>
            <w:pPr>
              <w:jc w:val="left"/>
            </w:pPr>
            <w:r>
              <w:rPr>
                <w:bCs/>
                <w:b/>
              </w:rPr>
              <w:t xml:space="preserve">Номер КС</w:t>
            </w:r>
          </w:p>
        </w:tc>
        <w:tc>
          <w:tcPr/>
          <w:p>
            <w:pPr>
              <w:jc w:val="left"/>
            </w:pPr>
            <w:r>
              <w:rPr>
                <w:bCs/>
                <w:b/>
              </w:rPr>
              <w:t xml:space="preserve">Описание КС</w:t>
            </w:r>
          </w:p>
        </w:tc>
        <w:tc>
          <w:tcPr/>
          <w:p>
            <w:pPr>
              <w:jc w:val="left"/>
            </w:pPr>
            <w:r>
              <w:rPr>
                <w:bCs/>
                <w:b/>
              </w:rPr>
              <w:t xml:space="preserve">Комментарий КС</w:t>
            </w:r>
          </w:p>
        </w:tc>
        <w:tc>
          <w:tcPr/>
          <w:p>
            <w:pPr>
              <w:jc w:val="left"/>
            </w:pPr>
            <w:r>
              <w:rPr>
                <w:bCs/>
                <w:b/>
              </w:rPr>
              <w:t xml:space="preserve">Значение слева</w:t>
            </w:r>
          </w:p>
        </w:tc>
        <w:tc>
          <w:tcPr/>
          <w:p>
            <w:pPr>
              <w:jc w:val="left"/>
            </w:pPr>
            <w:r>
              <w:rPr>
                <w:bCs/>
                <w:b/>
              </w:rPr>
              <w:t xml:space="preserve">Значение справа</w:t>
            </w:r>
          </w:p>
        </w:tc>
        <w:tc>
          <w:tcPr/>
          <w:p>
            <w:pPr>
              <w:jc w:val="left"/>
            </w:pPr>
            <w:r>
              <w:rPr>
                <w:bCs/>
                <w:b/>
              </w:rPr>
              <w:t xml:space="preserve">Отклонение</w:t>
            </w:r>
          </w:p>
        </w:tc>
        <w:tc>
          <w:tcPr/>
          <w:p>
            <w:pPr>
              <w:jc w:val="left"/>
            </w:pPr>
            <w:r>
              <w:rPr>
                <w:bCs/>
                <w:b/>
              </w:rPr>
              <w:t xml:space="preserve">Пояснение</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c>
          <w:tcPr/>
          <w:p>
            <w:pPr>
              <w:jc w:val="left"/>
            </w:pPr>
            <w:r>
              <w:rPr>
                <w:bCs/>
                <w:b/>
              </w:rPr>
              <w:t xml:space="preserve">4</w:t>
            </w:r>
          </w:p>
        </w:tc>
        <w:tc>
          <w:tcPr/>
          <w:p>
            <w:pPr>
              <w:jc w:val="left"/>
            </w:pPr>
            <w:r>
              <w:rPr>
                <w:bCs/>
                <w:b/>
              </w:rPr>
              <w:t xml:space="preserve">5</w:t>
            </w:r>
          </w:p>
        </w:tc>
        <w:tc>
          <w:tcPr/>
          <w:p>
            <w:pPr>
              <w:jc w:val="left"/>
            </w:pPr>
            <w:r>
              <w:rPr>
                <w:bCs/>
                <w:b/>
              </w:rPr>
              <w:t xml:space="preserve">6</w:t>
            </w:r>
          </w:p>
        </w:tc>
        <w:tc>
          <w:tcPr/>
          <w:p>
            <w:pPr>
              <w:jc w:val="left"/>
            </w:pPr>
            <w:r>
              <w:rPr>
                <w:bCs/>
                <w:b/>
              </w:rPr>
              <w:t xml:space="preserve">7</w:t>
            </w:r>
          </w:p>
        </w:tc>
        <w:tc>
          <w:tcPr/>
          <w:p>
            <w:pPr>
              <w:jc w:val="left"/>
            </w:pPr>
            <w:r>
              <w:rPr>
                <w:bCs/>
                <w:b/>
              </w:rPr>
              <w:t xml:space="preserve">8</w:t>
            </w:r>
          </w:p>
        </w:tc>
        <w:tc>
          <w:tcPr/>
          <w:p>
            <w:pPr>
              <w:jc w:val="left"/>
            </w:pPr>
            <w:r>
              <w:rPr>
                <w:bCs/>
                <w:b/>
              </w:rPr>
              <w:t xml:space="preserve">9</w:t>
            </w:r>
          </w:p>
        </w:tc>
      </w:tr>
      <w:tr>
        <w:tc>
          <w:tcPr/>
          <w:p>
            <w:pPr>
              <w:jc w:val="left"/>
            </w:pPr>
            <w:r>
              <w:t xml:space="preserve">0503128M</w:t>
            </w:r>
          </w:p>
        </w:tc>
        <w:tc>
          <w:tcPr/>
          <w:p>
            <w:pPr>
              <w:jc w:val="left"/>
            </w:pPr>
            <w:r>
              <w:t xml:space="preserve">Тип=ПБС</w:t>
            </w:r>
          </w:p>
        </w:tc>
        <w:tc>
          <w:tcPr/>
          <w:p>
            <w:pPr>
              <w:jc w:val="left"/>
            </w:pPr>
            <w:r>
              <w:t xml:space="preserve">ФК-1-21_128</w:t>
            </w:r>
          </w:p>
        </w:tc>
        <w:tc>
          <w:tcPr/>
          <w:p>
            <w:pPr>
              <w:jc w:val="left"/>
            </w:pPr>
            <w:r>
              <w:t xml:space="preserve">т1 гр5 Фильтр: (где КВР = 111,121,131) = т1 гр7 Фильтр: (где КВР = 111,121,131)</w:t>
            </w:r>
          </w:p>
        </w:tc>
        <w:tc>
          <w:tcPr/>
          <w:p>
            <w:pPr>
              <w:jc w:val="left"/>
            </w:pPr>
            <w:r>
              <w:t xml:space="preserve">Объем принятых БО по заработной плате не соответствует объему ЛБО – требует пояснения</w:t>
            </w:r>
          </w:p>
        </w:tc>
        <w:tc>
          <w:tcPr/>
          <w:p>
            <w:pPr>
              <w:jc w:val="left"/>
            </w:pPr>
            <w:r>
              <w:t xml:space="preserve">46 026 602,00</w:t>
            </w:r>
          </w:p>
        </w:tc>
        <w:tc>
          <w:tcPr/>
          <w:p>
            <w:pPr>
              <w:jc w:val="left"/>
            </w:pPr>
            <w:r>
              <w:t xml:space="preserve">34 877 048,79</w:t>
            </w:r>
          </w:p>
        </w:tc>
        <w:tc>
          <w:tcPr/>
          <w:p>
            <w:pPr>
              <w:jc w:val="left"/>
            </w:pPr>
            <w:r>
              <w:t xml:space="preserve">11 149 553,21</w:t>
            </w:r>
          </w:p>
        </w:tc>
        <w:tc>
          <w:tcPr/>
          <w:p>
            <w:pPr>
              <w:jc w:val="left"/>
            </w:pPr>
            <w:r>
              <w:t xml:space="preserve">ЛБО доведены на весь 2022 год, бюджетные и денежные обязательства принимаются по методу начисления</w:t>
            </w:r>
          </w:p>
        </w:tc>
      </w:tr>
    </w:tbl>
    <w:p>
      <w:pPr>
        <w:pStyle w:val="BodyText"/>
      </w:pPr>
      <w:r>
        <w:rPr>
          <w:bCs/>
          <w:b/>
        </w:rPr>
        <w:t xml:space="preserve">Информация о причинах отклонений показателей представленных форм отчетности по междокументным контрольным соотношениям, установленным в автоматизированной информационной системе Департамента финансов (в части допустимых отклонений, требующих пояснений)</w:t>
      </w:r>
    </w:p>
    <w:tbl>
      <w:tblPr>
        <w:tblStyle w:val="Table"/>
        <w:tblW w:type="auto" w:w="0"/>
        <w:tblLook w:firstRow="0" w:lastRow="0" w:firstColumn="0" w:lastColumn="0" w:noHBand="0" w:noVBand="0" w:val="0000"/>
      </w:tblPr>
      <w:tblGrid>
        <w:gridCol w:w="720"/>
        <w:gridCol w:w="720"/>
        <w:gridCol w:w="720"/>
        <w:gridCol w:w="720"/>
        <w:gridCol w:w="720"/>
        <w:gridCol w:w="720"/>
        <w:gridCol w:w="720"/>
        <w:gridCol w:w="720"/>
        <w:gridCol w:w="720"/>
        <w:gridCol w:w="720"/>
        <w:gridCol w:w="720"/>
      </w:tblGrid>
      <w:tr>
        <w:tc>
          <w:tcPr/>
          <w:p>
            <w:pPr>
              <w:jc w:val="left"/>
            </w:pPr>
            <w:r>
              <w:rPr>
                <w:bCs/>
                <w:b/>
              </w:rPr>
              <w:t xml:space="preserve">Номер КС</w:t>
            </w:r>
          </w:p>
        </w:tc>
        <w:tc>
          <w:tcPr/>
          <w:p>
            <w:pPr>
              <w:jc w:val="left"/>
            </w:pPr>
            <w:r>
              <w:rPr>
                <w:bCs/>
                <w:b/>
              </w:rPr>
              <w:t xml:space="preserve">Описание КС</w:t>
            </w:r>
          </w:p>
        </w:tc>
        <w:tc>
          <w:tcPr/>
          <w:p>
            <w:pPr>
              <w:jc w:val="left"/>
            </w:pPr>
            <w:r>
              <w:rPr>
                <w:bCs/>
                <w:b/>
              </w:rPr>
              <w:t xml:space="preserve">Комментарий КС</w:t>
            </w:r>
          </w:p>
        </w:tc>
        <w:tc>
          <w:tcPr/>
          <w:p>
            <w:pPr>
              <w:jc w:val="left"/>
            </w:pPr>
            <w:r>
              <w:rPr>
                <w:bCs/>
                <w:b/>
              </w:rPr>
              <w:t xml:space="preserve">Форма слева</w:t>
            </w:r>
          </w:p>
        </w:tc>
        <w:tc>
          <w:tcPr/>
          <w:p>
            <w:pPr>
              <w:jc w:val="left"/>
            </w:pPr>
            <w:r>
              <w:rPr>
                <w:bCs/>
                <w:b/>
              </w:rPr>
              <w:t xml:space="preserve">Атрибут</w:t>
            </w:r>
          </w:p>
        </w:tc>
        <w:tc>
          <w:tcPr/>
          <w:p>
            <w:pPr>
              <w:jc w:val="left"/>
            </w:pPr>
            <w:r>
              <w:rPr>
                <w:bCs/>
                <w:b/>
              </w:rPr>
              <w:t xml:space="preserve">Значение</w:t>
            </w:r>
          </w:p>
        </w:tc>
        <w:tc>
          <w:tcPr/>
          <w:p>
            <w:pPr>
              <w:jc w:val="left"/>
            </w:pPr>
            <w:r>
              <w:rPr>
                <w:bCs/>
                <w:b/>
              </w:rPr>
              <w:t xml:space="preserve">Форма справа</w:t>
            </w:r>
          </w:p>
        </w:tc>
        <w:tc>
          <w:tcPr/>
          <w:p>
            <w:pPr>
              <w:jc w:val="left"/>
            </w:pPr>
            <w:r>
              <w:rPr>
                <w:bCs/>
                <w:b/>
              </w:rPr>
              <w:t xml:space="preserve">Атрибут</w:t>
            </w:r>
          </w:p>
        </w:tc>
        <w:tc>
          <w:tcPr/>
          <w:p>
            <w:pPr>
              <w:jc w:val="left"/>
            </w:pPr>
            <w:r>
              <w:rPr>
                <w:bCs/>
                <w:b/>
              </w:rPr>
              <w:t xml:space="preserve">Значение</w:t>
            </w:r>
          </w:p>
        </w:tc>
        <w:tc>
          <w:tcPr/>
          <w:p>
            <w:pPr>
              <w:jc w:val="left"/>
            </w:pPr>
            <w:r>
              <w:rPr>
                <w:bCs/>
                <w:b/>
              </w:rPr>
              <w:t xml:space="preserve">Отклонение</w:t>
            </w:r>
          </w:p>
        </w:tc>
        <w:tc>
          <w:tcPr/>
          <w:p>
            <w:pPr>
              <w:jc w:val="left"/>
            </w:pPr>
            <w:r>
              <w:rPr>
                <w:bCs/>
                <w:b/>
              </w:rPr>
              <w:t xml:space="preserve">Пояснение</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c>
          <w:tcPr/>
          <w:p>
            <w:pPr>
              <w:jc w:val="left"/>
            </w:pPr>
            <w:r>
              <w:rPr>
                <w:bCs/>
                <w:b/>
              </w:rPr>
              <w:t xml:space="preserve">4</w:t>
            </w:r>
          </w:p>
        </w:tc>
        <w:tc>
          <w:tcPr/>
          <w:p>
            <w:pPr>
              <w:jc w:val="left"/>
            </w:pPr>
            <w:r>
              <w:rPr>
                <w:bCs/>
                <w:b/>
              </w:rPr>
              <w:t xml:space="preserve">5</w:t>
            </w:r>
          </w:p>
        </w:tc>
        <w:tc>
          <w:tcPr/>
          <w:p>
            <w:pPr>
              <w:jc w:val="left"/>
            </w:pPr>
            <w:r>
              <w:rPr>
                <w:bCs/>
                <w:b/>
              </w:rPr>
              <w:t xml:space="preserve">6</w:t>
            </w:r>
          </w:p>
        </w:tc>
        <w:tc>
          <w:tcPr/>
          <w:p>
            <w:pPr>
              <w:jc w:val="left"/>
            </w:pPr>
            <w:r>
              <w:rPr>
                <w:bCs/>
                <w:b/>
              </w:rPr>
              <w:t xml:space="preserve">7</w:t>
            </w:r>
          </w:p>
        </w:tc>
        <w:tc>
          <w:tcPr/>
          <w:p>
            <w:pPr>
              <w:jc w:val="left"/>
            </w:pPr>
            <w:r>
              <w:rPr>
                <w:bCs/>
                <w:b/>
              </w:rPr>
              <w:t xml:space="preserve">8</w:t>
            </w:r>
          </w:p>
        </w:tc>
        <w:tc>
          <w:tcPr/>
          <w:p>
            <w:pPr>
              <w:jc w:val="left"/>
            </w:pPr>
            <w:r>
              <w:rPr>
                <w:bCs/>
                <w:b/>
              </w:rPr>
              <w:t xml:space="preserve">9</w:t>
            </w:r>
          </w:p>
        </w:tc>
        <w:tc>
          <w:tcPr/>
          <w:p>
            <w:pPr>
              <w:jc w:val="left"/>
            </w:pPr>
            <w:r>
              <w:rPr>
                <w:bCs/>
                <w:b/>
              </w:rPr>
              <w:t xml:space="preserve">10</w:t>
            </w:r>
          </w:p>
        </w:tc>
        <w:tc>
          <w:tcPr/>
          <w:p>
            <w:pPr>
              <w:jc w:val="left"/>
            </w:pPr>
            <w:r>
              <w:rPr>
                <w:bCs/>
                <w:b/>
              </w:rPr>
              <w:t xml:space="preserve">11</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tbl>
      <w:tblPr>
        <w:tblStyle w:val="Table"/>
        <w:tblW w:type="auto" w:w="0"/>
        <w:tblLook w:firstRow="0" w:lastRow="0" w:firstColumn="0" w:lastColumn="0" w:noHBand="0" w:noVBand="0" w:val="0000"/>
      </w:tblPr>
      <w:tblGrid>
        <w:gridCol w:w="2640"/>
        <w:gridCol w:w="2640"/>
        <w:gridCol w:w="2640"/>
      </w:tblGrid>
      <w:tr>
        <w:tc>
          <w:tcPr/>
          <w:p>
            <w:pPr>
              <w:jc w:val="left"/>
            </w:pPr>
            <w:r>
              <w:t xml:space="preserve">Руководитель</w:t>
            </w:r>
          </w:p>
        </w:tc>
        <w:tc>
          <w:tcPr/>
          <w:p>
            <w:pPr>
              <w:pStyle w:val="Compact"/>
            </w:pPr>
          </w:p>
        </w:tc>
        <w:tc>
          <w:tcPr/>
          <w:p>
            <w:pPr>
              <w:jc w:val="left"/>
            </w:pPr>
            <w:r>
              <w:t xml:space="preserve">Орлова Светлана Анатольевна</w:t>
            </w:r>
          </w:p>
        </w:tc>
      </w:tr>
      <w:tr>
        <w:tc>
          <w:tcPr/>
          <w:p>
            <w:pPr>
              <w:pStyle w:val="Compact"/>
            </w:pPr>
          </w:p>
        </w:tc>
        <w:tc>
          <w:tcPr/>
          <w:p>
            <w:pPr>
              <w:jc w:val="left"/>
            </w:pPr>
            <w:r>
              <w:t xml:space="preserve">(подпись)</w:t>
            </w:r>
          </w:p>
        </w:tc>
        <w:tc>
          <w:tcPr/>
          <w:p>
            <w:pPr>
              <w:jc w:val="left"/>
            </w:pPr>
            <w:r>
              <w:t xml:space="preserve">(расшифровка подписи)</w:t>
            </w:r>
          </w:p>
        </w:tc>
      </w:tr>
      <w:tr>
        <w:tc>
          <w:tcPr>
            <w:gridSpan w:val="3"/>
          </w:tcPr>
          <w:p>
            <w:pPr>
              <w:pStyle w:val="Compact"/>
            </w:pPr>
          </w:p>
        </w:tc>
      </w:tr>
      <w:tr>
        <w:tc>
          <w:tcPr/>
          <w:p>
            <w:pPr>
              <w:jc w:val="left"/>
            </w:pPr>
            <w:r>
              <w:t xml:space="preserve">Руководитель планово-</w:t>
            </w:r>
          </w:p>
        </w:tc>
        <w:tc>
          <w:tcPr/>
          <w:p>
            <w:pPr>
              <w:pStyle w:val="Compact"/>
            </w:pPr>
          </w:p>
        </w:tc>
        <w:tc>
          <w:tcPr/>
          <w:p>
            <w:pPr>
              <w:jc w:val="left"/>
            </w:pPr>
            <w:r>
              <w:t xml:space="preserve">Козина Оксана Ивановна</w:t>
            </w:r>
          </w:p>
        </w:tc>
      </w:tr>
      <w:tr>
        <w:tc>
          <w:tcPr/>
          <w:p>
            <w:pPr>
              <w:jc w:val="left"/>
            </w:pPr>
            <w:r>
              <w:t xml:space="preserve">экономической службы</w:t>
            </w:r>
          </w:p>
        </w:tc>
        <w:tc>
          <w:tcPr/>
          <w:p>
            <w:pPr>
              <w:jc w:val="left"/>
            </w:pPr>
            <w:r>
              <w:t xml:space="preserve">(подпись)</w:t>
            </w:r>
          </w:p>
        </w:tc>
        <w:tc>
          <w:tcPr/>
          <w:p>
            <w:pPr>
              <w:jc w:val="left"/>
            </w:pPr>
            <w:r>
              <w:t xml:space="preserve">(расшифровка подписи)</w:t>
            </w:r>
          </w:p>
        </w:tc>
      </w:tr>
      <w:tr>
        <w:tc>
          <w:tcPr>
            <w:gridSpan w:val="3"/>
          </w:tcPr>
          <w:p>
            <w:pPr>
              <w:pStyle w:val="Compact"/>
            </w:pPr>
          </w:p>
        </w:tc>
      </w:tr>
      <w:tr>
        <w:tc>
          <w:tcPr/>
          <w:p>
            <w:pPr>
              <w:jc w:val="left"/>
            </w:pPr>
            <w:r>
              <w:t xml:space="preserve">Главный</w:t>
            </w:r>
          </w:p>
        </w:tc>
        <w:tc>
          <w:tcPr/>
          <w:p>
            <w:pPr>
              <w:pStyle w:val="Compact"/>
            </w:pPr>
          </w:p>
        </w:tc>
        <w:tc>
          <w:tcPr/>
          <w:p>
            <w:pPr>
              <w:jc w:val="left"/>
            </w:pPr>
            <w:r>
              <w:t xml:space="preserve">Афанасьева Оксана Валентиновна</w:t>
            </w:r>
          </w:p>
        </w:tc>
      </w:tr>
      <w:tr>
        <w:tc>
          <w:tcPr/>
          <w:p>
            <w:pPr>
              <w:jc w:val="left"/>
            </w:pPr>
            <w:r>
              <w:t xml:space="preserve">бухгалтер</w:t>
            </w:r>
          </w:p>
        </w:tc>
        <w:tc>
          <w:tcPr/>
          <w:p>
            <w:pPr>
              <w:jc w:val="left"/>
            </w:pPr>
            <w:r>
              <w:t xml:space="preserve">(подпись)</w:t>
            </w:r>
          </w:p>
        </w:tc>
        <w:tc>
          <w:tcPr/>
          <w:p>
            <w:pPr>
              <w:jc w:val="left"/>
            </w:pPr>
            <w:r>
              <w:t xml:space="preserve">(расшифровка подписи)</w:t>
            </w:r>
          </w:p>
        </w:tc>
      </w:tr>
    </w:tbl>
    <w:p>
      <w:pPr>
        <w:pStyle w:val="BodyText"/>
      </w:pPr>
      <w:bookmarkStart w:id="20" w:name="X472cf3ef901f6faed7b0ee9ea22641dec5e91ec"/>
      <w:bookmarkEnd w:id="20"/>
    </w:p>
    <w:p>
      <w:pPr>
        <w:pStyle w:val="BodyText"/>
      </w:pPr>
      <w:bookmarkStart w:id="21" w:name="Xe3acfc2d299fecaa09c1d43c58b036129b007b6"/>
      <w:bookmarkEnd w:id="21"/>
    </w:p>
    <w:p>
      <w:pPr>
        <w:pStyle w:val="BodyText"/>
      </w:pPr>
      <w:r>
        <w:br/>
      </w:r>
    </w:p>
    <w:p>
      <w:pPr>
        <w:pStyle w:val="BodyText"/>
      </w:pPr>
      <w:r>
        <w:t xml:space="preserve">Адрес страницы:</w:t>
      </w:r>
      <w:r>
        <w:t xml:space="preserve"> </w:t>
      </w:r>
      <w:hyperlink r:id="rId22">
        <w:r>
          <w:rPr>
            <w:rStyle w:val="Hyperlink"/>
          </w:rPr>
          <w:t xml:space="preserve">http://krasnoselsky.mos.ru/uprava/reports/detail/11440576.html</w:t>
        </w:r>
      </w:hyperlink>
    </w:p>
    <w:p>
      <w:pPr>
        <w:pStyle w:val="BodyText"/>
      </w:pPr>
      <w:hyperlink r:id="rId23">
        <w:r>
          <w:rPr>
            <w:rStyle w:val="Hyperlink"/>
          </w:rPr>
          <w:t xml:space="preserve">Управа Красносельского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rasnoselsky.mos.ru" TargetMode="External" /><Relationship Type="http://schemas.openxmlformats.org/officeDocument/2006/relationships/hyperlink" Id="rId22" Target="http://krasnoselsky.mos.ru/uprava/reports/detail/11440576.html" TargetMode="External" /></Relationships>
</file>

<file path=word/_rels/footnotes.xml.rels><?xml version="1.0" encoding="UTF-8"?><Relationships xmlns="http://schemas.openxmlformats.org/package/2006/relationships"><Relationship Type="http://schemas.openxmlformats.org/officeDocument/2006/relationships/hyperlink" Id="rId23" Target="http://krasnoselsky.mos.ru" TargetMode="External" /><Relationship Type="http://schemas.openxmlformats.org/officeDocument/2006/relationships/hyperlink" Id="rId22" Target="http://krasnoselsky.mos.ru/uprava/reports/detail/114405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2024-10-28T23:52:25Z</dcterms:created>
  <dcterms:modified xsi:type="dcterms:W3CDTF">2024-10-28T23:52:25Z</dcterms:modified>
</cp:coreProperties>
</file>

<file path=docProps/custom.xml><?xml version="1.0" encoding="utf-8"?>
<Properties xmlns="http://schemas.openxmlformats.org/officeDocument/2006/custom-properties" xmlns:vt="http://schemas.openxmlformats.org/officeDocument/2006/docPropsVTypes"/>
</file>