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d3b0e48388c59fe88f93c43721f46a2e993ad"/>
    <w:p>
      <w:pPr>
        <w:pStyle w:val="Heading3"/>
      </w:pPr>
      <w:r>
        <w:t xml:space="preserve">1.ОТЧЕТ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на 01.10.2021</w:t>
      </w:r>
    </w:p>
    <w:p>
      <w:pPr>
        <w:pStyle w:val="FirstParagraph"/>
      </w:pPr>
      <w:r>
        <w:t xml:space="preserve">21.02.2022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ОТЧЕТ ОБ ИСПОЛНЕНИИ БЮДЖЕТА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РАСПОРЯДИТЕЛЯ, РАСПОРЯДИТЕЛЯ, ПОЛУЧАТЕЛЯ БЮДЖЕТНЫХ СРЕДСТВ,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ИСТОЧНИКОВ ФИНАНСИРОВАНИЯ ДЕФИЦИТА БЮДЖЕТА,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ДОХОДОВ БЮДЖЕТА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на 1 октября 2021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финансирования дефицита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Периодичность: месячная, квартальная,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1. Доходы бюджета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дохода по бюджетной классификации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Утвержденные бюджетные назначения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бюджета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96111302992020000130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 (прочие доходы от компенсации затрат бюджета города Москвы) (государственные органы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96111302992028009130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96111601205010000140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http://krasnoselsky.mos.ru/uprava/reports/detail/10637287.html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637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637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2023-07-25T21:18:32Z</dcterms:created>
  <dcterms:modified xsi:type="dcterms:W3CDTF">2023-07-25T21:18:32Z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