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пояснительная-записка"/>
    <w:p>
      <w:pPr>
        <w:pStyle w:val="Heading3"/>
      </w:pPr>
      <w:r>
        <w:t xml:space="preserve">ПОЯСНИТЕЛЬНАЯ ЗАПИСКА</w:t>
      </w:r>
    </w:p>
    <w:p>
      <w:pPr>
        <w:pStyle w:val="FirstParagraph"/>
      </w:pPr>
      <w:r>
        <w:t xml:space="preserve">02.08.2021</w:t>
      </w:r>
    </w:p>
    <w:tbl>
      <w:tblPr>
        <w:tblStyle w:val="Table"/>
        <w:tblW w:type="pct" w:w="5000"/>
        <w:tblLook w:firstRow="0" w:lastRow="0" w:firstColumn="0" w:lastColumn="0" w:noHBand="0" w:noVBand="0" w:val="0000"/>
      </w:tblPr>
      <w:tblGrid>
        <w:gridCol w:w="1584"/>
        <w:gridCol w:w="1584"/>
        <w:gridCol w:w="1584"/>
        <w:gridCol w:w="1584"/>
        <w:gridCol w:w="1584"/>
      </w:tblGrid>
      <w:tr>
        <w:tc>
          <w:tcPr/>
          <w:p>
            <w:pPr>
              <w:pStyle w:val="Compact"/>
            </w:pPr>
          </w:p>
        </w:tc>
        <w:tc>
          <w:tcPr/>
          <w:p>
            <w:pPr>
              <w:pStyle w:val="Compact"/>
            </w:pPr>
          </w:p>
        </w:tc>
        <w:tc>
          <w:tcPr/>
          <w:p>
            <w:pPr>
              <w:jc w:val="left"/>
            </w:pPr>
            <w:r>
              <w:t xml:space="preserve">ПОЯСНИТЕЛЬНАЯ ЗАПИСКА</w:t>
            </w: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jc w:val="left"/>
            </w:pPr>
            <w:r>
              <w:t xml:space="preserve">КОДЫ</w:t>
            </w:r>
          </w:p>
        </w:tc>
      </w:tr>
      <w:tr>
        <w:tc>
          <w:tcPr/>
          <w:p>
            <w:pPr>
              <w:pStyle w:val="Compact"/>
            </w:pPr>
          </w:p>
        </w:tc>
        <w:tc>
          <w:tcPr>
            <w:vMerge w:val="restart"/>
          </w:tcPr>
          <w:p>
            <w:pPr>
              <w:pStyle w:val="Compact"/>
            </w:pPr>
          </w:p>
        </w:tc>
        <w:tc>
          <w:tcPr>
            <w:vMerge w:val="restart"/>
          </w:tcPr>
          <w:p>
            <w:pPr>
              <w:jc w:val="left"/>
            </w:pPr>
            <w:r>
              <w:t xml:space="preserve">на 1 апреля 2021 года</w:t>
            </w:r>
          </w:p>
        </w:tc>
        <w:tc>
          <w:tcPr>
            <w:vMerge w:val="restart"/>
          </w:tcPr>
          <w:p>
            <w:pPr>
              <w:jc w:val="left"/>
            </w:pPr>
            <w:r>
              <w:t xml:space="preserve">Форма по ОКУД</w:t>
            </w:r>
          </w:p>
        </w:tc>
        <w:tc>
          <w:tcPr>
            <w:vMerge w:val="restart"/>
          </w:tcPr>
          <w:p>
            <w:pPr>
              <w:jc w:val="left"/>
            </w:pPr>
            <w:r>
              <w:t xml:space="preserve">0503160</w:t>
            </w:r>
          </w:p>
        </w:tc>
      </w:tr>
      <w:tr>
        <w:tc>
          <w:tcPr/>
          <w:p>
            <w:pPr>
              <w:pStyle w:val="Compact"/>
            </w:pPr>
          </w:p>
        </w:tc>
        <w:tc>
          <w:tcPr>
            <w:gridSpan w:val="1"/>
            <w:vMerge w:val="continue"/>
          </w:tcPr>
          <w:p>
            <w:pPr/>
          </w:p>
        </w:tc>
        <w:tc>
          <w:tcPr>
            <w:gridSpan w:val="1"/>
            <w:vMerge w:val="continue"/>
          </w:tcPr>
          <w:p>
            <w:pPr/>
          </w:p>
        </w:tc>
        <w:tc>
          <w:tcPr>
            <w:gridSpan w:val="1"/>
            <w:vMerge w:val="continue"/>
          </w:tcPr>
          <w:p>
            <w:pPr/>
          </w:p>
        </w:tc>
        <w:tc>
          <w:tcPr>
            <w:gridSpan w:val="1"/>
            <w:vMerge w:val="continue"/>
          </w:tcPr>
          <w:p>
            <w:pPr/>
          </w:p>
        </w:tc>
      </w:tr>
      <w:tr>
        <w:tc>
          <w:tcPr/>
          <w:p>
            <w:pPr>
              <w:pStyle w:val="Compact"/>
            </w:pPr>
          </w:p>
        </w:tc>
        <w:tc>
          <w:tcPr/>
          <w:p>
            <w:pPr>
              <w:pStyle w:val="Compact"/>
            </w:pPr>
          </w:p>
        </w:tc>
        <w:tc>
          <w:tcPr/>
          <w:p>
            <w:pPr>
              <w:pStyle w:val="Compact"/>
            </w:pPr>
          </w:p>
        </w:tc>
        <w:tc>
          <w:tcPr/>
          <w:p>
            <w:pPr>
              <w:jc w:val="left"/>
            </w:pPr>
            <w:r>
              <w:t xml:space="preserve">Дата</w:t>
            </w:r>
          </w:p>
        </w:tc>
        <w:tc>
          <w:tcPr/>
          <w:p>
            <w:pPr>
              <w:jc w:val="left"/>
            </w:pPr>
            <w:r>
              <w:t xml:space="preserve">01.04.2021</w:t>
            </w:r>
          </w:p>
        </w:tc>
      </w:tr>
      <w:tr>
        <w:tc>
          <w:tcPr>
            <w:gridSpan w:val="2"/>
            <w:vMerge w:val="restart"/>
          </w:tcPr>
          <w:p>
            <w:pPr>
              <w:jc w:val="left"/>
            </w:pPr>
            <w:r>
              <w:t xml:space="preserve">Главный распорядитель, распорядитель, получатель бюджетных средств, главный администратор, администратор доходов бюджета, главный администратор, администратор источников финансирования дефицита бюджета</w:t>
            </w:r>
          </w:p>
        </w:tc>
        <w:tc>
          <w:tcPr/>
          <w:p>
            <w:pPr>
              <w:pStyle w:val="Compact"/>
            </w:pPr>
          </w:p>
        </w:tc>
        <w:tc>
          <w:tcPr>
            <w:vMerge w:val="restart"/>
          </w:tcPr>
          <w:p>
            <w:pPr>
              <w:jc w:val="left"/>
            </w:pPr>
            <w:r>
              <w:t xml:space="preserve">по ОКПО</w:t>
            </w:r>
          </w:p>
        </w:tc>
        <w:tc>
          <w:tcPr>
            <w:vMerge w:val="restart"/>
          </w:tcPr>
          <w:p>
            <w:pPr>
              <w:jc w:val="left"/>
            </w:pPr>
            <w:r>
              <w:br/>
            </w:r>
            <w:r>
              <w:t xml:space="preserve">13554549</w:t>
            </w:r>
          </w:p>
        </w:tc>
      </w:tr>
      <w:tr>
        <w:tc>
          <w:tcPr>
            <w:gridSpan w:val="2"/>
            <w:vMerge w:val="continue"/>
          </w:tcPr>
          <w:p>
            <w:pPr/>
          </w:p>
        </w:tc>
        <w:tc>
          <w:tcPr/>
          <w:p>
            <w:pPr>
              <w:pStyle w:val="Compact"/>
            </w:pPr>
          </w:p>
        </w:tc>
        <w:tc>
          <w:tcPr>
            <w:gridSpan w:val="1"/>
            <w:vMerge w:val="continue"/>
          </w:tcPr>
          <w:p>
            <w:pPr/>
          </w:p>
        </w:tc>
        <w:tc>
          <w:tcPr>
            <w:gridSpan w:val="1"/>
            <w:vMerge w:val="continue"/>
          </w:tcPr>
          <w:p>
            <w:pPr/>
          </w:p>
        </w:tc>
      </w:tr>
      <w:tr>
        <w:tc>
          <w:tcPr>
            <w:gridSpan w:val="2"/>
            <w:vMerge w:val="continue"/>
          </w:tcPr>
          <w:p>
            <w:pPr/>
          </w:p>
        </w:tc>
        <w:tc>
          <w:tcPr/>
          <w:p>
            <w:pPr>
              <w:pStyle w:val="Compact"/>
            </w:pPr>
          </w:p>
        </w:tc>
        <w:tc>
          <w:tcPr>
            <w:gridSpan w:val="1"/>
            <w:vMerge w:val="continue"/>
          </w:tcPr>
          <w:p>
            <w:pPr/>
          </w:p>
        </w:tc>
        <w:tc>
          <w:tcPr>
            <w:gridSpan w:val="1"/>
            <w:vMerge w:val="continue"/>
          </w:tcPr>
          <w:p>
            <w:pPr/>
          </w:p>
        </w:tc>
      </w:tr>
      <w:tr>
        <w:tc>
          <w:tcPr>
            <w:gridSpan w:val="2"/>
            <w:vMerge w:val="continue"/>
          </w:tcPr>
          <w:p>
            <w:pPr/>
          </w:p>
        </w:tc>
        <w:tc>
          <w:tcPr/>
          <w:p>
            <w:pPr>
              <w:pStyle w:val="Compact"/>
            </w:pPr>
          </w:p>
        </w:tc>
        <w:tc>
          <w:tcPr>
            <w:gridSpan w:val="1"/>
            <w:vMerge w:val="continue"/>
          </w:tcPr>
          <w:p>
            <w:pPr/>
          </w:p>
        </w:tc>
        <w:tc>
          <w:tcPr>
            <w:gridSpan w:val="1"/>
            <w:vMerge w:val="continue"/>
          </w:tcPr>
          <w:p>
            <w:pPr/>
          </w:p>
        </w:tc>
      </w:tr>
      <w:tr>
        <w:tc>
          <w:tcPr>
            <w:gridSpan w:val="2"/>
            <w:vMerge w:val="continue"/>
          </w:tcPr>
          <w:p>
            <w:pPr/>
          </w:p>
        </w:tc>
        <w:tc>
          <w:tcPr/>
          <w:p>
            <w:pPr>
              <w:jc w:val="left"/>
            </w:pPr>
            <w:r>
              <w:t xml:space="preserve">управа Красносельского района города Москвы</w:t>
            </w:r>
          </w:p>
        </w:tc>
        <w:tc>
          <w:tcPr/>
          <w:p>
            <w:pPr>
              <w:jc w:val="left"/>
            </w:pPr>
            <w:r>
              <w:t xml:space="preserve">Глава по БК</w:t>
            </w:r>
          </w:p>
        </w:tc>
        <w:tc>
          <w:tcPr/>
          <w:p>
            <w:pPr>
              <w:jc w:val="left"/>
            </w:pPr>
            <w:r>
              <w:t xml:space="preserve">961</w:t>
            </w:r>
          </w:p>
        </w:tc>
      </w:tr>
      <w:tr>
        <w:tc>
          <w:tcPr>
            <w:gridSpan w:val="2"/>
          </w:tcPr>
          <w:p>
            <w:pPr>
              <w:jc w:val="left"/>
            </w:pPr>
            <w:r>
              <w:t xml:space="preserve">Наименование бюджета (публично-правового образования)</w:t>
            </w:r>
          </w:p>
        </w:tc>
        <w:tc>
          <w:tcPr/>
          <w:p>
            <w:pPr>
              <w:jc w:val="left"/>
            </w:pPr>
            <w:r>
              <w:rPr>
                <w:bCs/>
                <w:b/>
              </w:rPr>
              <w:t xml:space="preserve">Бюджет города Москвы</w:t>
            </w:r>
          </w:p>
        </w:tc>
        <w:tc>
          <w:tcPr>
            <w:vMerge w:val="restart"/>
          </w:tcPr>
          <w:p>
            <w:pPr>
              <w:jc w:val="left"/>
            </w:pPr>
            <w:r>
              <w:t xml:space="preserve">по ОКТМО</w:t>
            </w:r>
          </w:p>
        </w:tc>
        <w:tc>
          <w:tcPr>
            <w:vMerge w:val="restart"/>
          </w:tcPr>
          <w:p>
            <w:pPr>
              <w:jc w:val="left"/>
            </w:pPr>
            <w:r>
              <w:t xml:space="preserve">45378000</w:t>
            </w:r>
          </w:p>
        </w:tc>
      </w:tr>
      <w:tr>
        <w:tc>
          <w:tcPr/>
          <w:p>
            <w:pPr>
              <w:pStyle w:val="Compact"/>
            </w:pPr>
          </w:p>
        </w:tc>
        <w:tc>
          <w:tcPr/>
          <w:p>
            <w:pPr>
              <w:pStyle w:val="Compact"/>
            </w:pPr>
          </w:p>
        </w:tc>
        <w:tc>
          <w:tcPr/>
          <w:p>
            <w:pPr>
              <w:pStyle w:val="Compact"/>
            </w:pPr>
          </w:p>
        </w:tc>
        <w:tc>
          <w:tcPr>
            <w:gridSpan w:val="1"/>
            <w:vMerge w:val="continue"/>
          </w:tcPr>
          <w:p>
            <w:pPr/>
          </w:p>
        </w:tc>
        <w:tc>
          <w:tcPr>
            <w:gridSpan w:val="1"/>
            <w:vMerge w:val="continue"/>
          </w:tcPr>
          <w:p>
            <w:pPr/>
          </w:p>
        </w:tc>
      </w:tr>
      <w:tr>
        <w:tc>
          <w:tcPr/>
          <w:p>
            <w:pPr>
              <w:jc w:val="left"/>
            </w:pPr>
            <w:r>
              <w:t xml:space="preserve">Периодичность:</w:t>
            </w:r>
          </w:p>
        </w:tc>
        <w:tc>
          <w:tcPr>
            <w:gridSpan w:val="2"/>
          </w:tcPr>
          <w:p>
            <w:pPr>
              <w:jc w:val="left"/>
            </w:pPr>
            <w:r>
              <w:t xml:space="preserve">квартальная</w:t>
            </w:r>
          </w:p>
        </w:tc>
        <w:tc>
          <w:tcPr/>
          <w:p>
            <w:pPr>
              <w:pStyle w:val="Compact"/>
            </w:pPr>
          </w:p>
        </w:tc>
        <w:tc>
          <w:tcPr/>
          <w:p>
            <w:pPr>
              <w:pStyle w:val="Compact"/>
            </w:pPr>
          </w:p>
        </w:tc>
      </w:tr>
      <w:tr>
        <w:tc>
          <w:tcPr>
            <w:gridSpan w:val="3"/>
          </w:tcPr>
          <w:p>
            <w:pPr>
              <w:jc w:val="left"/>
            </w:pPr>
            <w:r>
              <w:t xml:space="preserve">Единица измерения: руб.</w:t>
            </w:r>
          </w:p>
        </w:tc>
        <w:tc>
          <w:tcPr/>
          <w:p>
            <w:pPr>
              <w:jc w:val="left"/>
            </w:pPr>
            <w:r>
              <w:t xml:space="preserve">по ОКЕИ</w:t>
            </w:r>
          </w:p>
        </w:tc>
        <w:tc>
          <w:tcPr/>
          <w:p>
            <w:pPr>
              <w:jc w:val="left"/>
            </w:pPr>
            <w:r>
              <w:t xml:space="preserve">383</w:t>
            </w: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gridSpan w:val="3"/>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gridSpan w:val="3"/>
          </w:tcPr>
          <w:p>
            <w:pPr>
              <w:pStyle w:val="Compact"/>
            </w:pPr>
          </w:p>
        </w:tc>
      </w:tr>
    </w:tbl>
    <w:p>
      <w:pPr>
        <w:pStyle w:val="BodyText"/>
      </w:pPr>
      <w:r>
        <w:rPr>
          <w:bCs/>
          <w:b/>
        </w:rPr>
        <w:t xml:space="preserve">Раздел 1 «Организационная структура субъекта бюджетной отчетности»</w:t>
      </w:r>
    </w:p>
    <w:tbl>
      <w:tblPr>
        <w:tblStyle w:val="Table"/>
        <w:tblW w:type="auto" w:w="0"/>
        <w:tblLook w:firstRow="0" w:lastRow="0" w:firstColumn="0" w:lastColumn="0" w:noHBand="0" w:noVBand="0" w:val="0000"/>
      </w:tblPr>
      <w:tblGrid>
        <w:gridCol w:w="7920"/>
      </w:tblGrid>
      <w:tr>
        <w:tc>
          <w:tcPr/>
          <w:p>
            <w:pPr>
              <w:pStyle w:val="Compact"/>
            </w:pPr>
          </w:p>
        </w:tc>
      </w:tr>
      <w:tr>
        <w:tc>
          <w:tcPr/>
          <w:p>
            <w:pPr>
              <w:pStyle w:val="Compact"/>
            </w:pPr>
          </w:p>
        </w:tc>
      </w:tr>
      <w:tr>
        <w:tc>
          <w:tcPr/>
          <w:p>
            <w:pPr>
              <w:pStyle w:val="Compact"/>
            </w:pPr>
          </w:p>
        </w:tc>
      </w:tr>
      <w:tr>
        <w:tc>
          <w:tcPr/>
          <w:p>
            <w:pPr>
              <w:jc w:val="left"/>
            </w:pPr>
            <w:r>
              <w:rPr>
                <w:bCs/>
                <w:b/>
              </w:rPr>
              <w:t xml:space="preserve">Информация о месте нахождения и организационно-правовой форме субъекта отчетности</w:t>
            </w:r>
          </w:p>
        </w:tc>
      </w:tr>
      <w:tr>
        <w:tc>
          <w:tcPr/>
          <w:p>
            <w:pPr>
              <w:jc w:val="left"/>
            </w:pPr>
            <w:r>
              <w:t xml:space="preserve">"Высшим должностным лицом управы Красносельского района города Москвы является глава управы. Управа района является территориальным органом исполнительной власти города, подведомственным Правительству Москвы. В своей деятельности управа руководствуется Положением, утвержденным Постановлением Правительства Москвы от 24 февраля 2010 года № 157-ПП «О полномочиях территориальных органов исполнительной власти города Москвы». управа Красносельского района города Москвы"" зарегистрирована 18 декабря 2002 года по адресу 107140, МОСКВА Г, КРАСНОСЕЛЬСКАЯ НИЖН. УЛ, ДОМ 5, СТРОЕНИЕ 7. Основным видом деятельности является деятельность органов государственной власти субъектов российской "</w:t>
            </w:r>
          </w:p>
        </w:tc>
      </w:tr>
      <w:tr>
        <w:tc>
          <w:tcPr/>
          <w:p>
            <w:pPr>
              <w:pStyle w:val="Compact"/>
            </w:pPr>
          </w:p>
        </w:tc>
      </w:tr>
      <w:tr>
        <w:tc>
          <w:tcPr/>
          <w:p>
            <w:pPr>
              <w:jc w:val="left"/>
            </w:pPr>
            <w:r>
              <w:rPr>
                <w:bCs/>
                <w:b/>
              </w:rPr>
              <w:t xml:space="preserve">Сведения об изменениях наименования субъекта за отчетный период, если такие изменения производились</w:t>
            </w:r>
          </w:p>
        </w:tc>
      </w:tr>
      <w:tr>
        <w:tc>
          <w:tcPr/>
          <w:p>
            <w:pPr>
              <w:jc w:val="left"/>
            </w:pPr>
            <w:r>
              <w:t xml:space="preserve">Изменения наименования за отчетный период не проводились.</w:t>
            </w:r>
          </w:p>
        </w:tc>
      </w:tr>
      <w:tr>
        <w:tc>
          <w:tcPr/>
          <w:p>
            <w:pPr>
              <w:pStyle w:val="Compact"/>
            </w:pPr>
          </w:p>
        </w:tc>
      </w:tr>
      <w:tr>
        <w:tc>
          <w:tcPr/>
          <w:p>
            <w:pPr>
              <w:jc w:val="left"/>
            </w:pPr>
            <w:r>
              <w:rPr>
                <w:bCs/>
                <w:b/>
              </w:rPr>
              <w:t xml:space="preserve">Наименование учредителя субъекта отчетности (для подведомственных получателей бюджетных средств)</w:t>
            </w:r>
          </w:p>
        </w:tc>
      </w:tr>
      <w:tr>
        <w:tc>
          <w:tcPr/>
          <w:p>
            <w:pPr>
              <w:jc w:val="left"/>
            </w:pPr>
            <w:r>
              <w:t xml:space="preserve">Учредителем управы Красносельского района города Москвы является Правительство Москвы. Координацию и контроль за деятельностью управы района осуществляет префект Центрального административного округа города Москвы (далее - административный округ) в пределах полномочий, установленных правовыми актами города Москвы</w:t>
            </w:r>
          </w:p>
        </w:tc>
      </w:tr>
      <w:tr>
        <w:tc>
          <w:tcPr/>
          <w:p>
            <w:pPr>
              <w:pStyle w:val="Compact"/>
            </w:pPr>
          </w:p>
        </w:tc>
      </w:tr>
      <w:tr>
        <w:tc>
          <w:tcPr/>
          <w:p>
            <w:pPr>
              <w:jc w:val="left"/>
            </w:pPr>
            <w:r>
              <w:rPr>
                <w:bCs/>
                <w:b/>
              </w:rPr>
              <w:t xml:space="preserve">Информация о наличии филиалов (обособленных подразделений) учреждения по состоянию на отчетную дату с указанием причин, произошедших в течение отчетного периода изменений количества филиалов (обособленных подразделений)</w:t>
            </w:r>
          </w:p>
        </w:tc>
      </w:tr>
      <w:tr>
        <w:tc>
          <w:tcPr/>
          <w:p>
            <w:pPr>
              <w:jc w:val="left"/>
            </w:pPr>
            <w:r>
              <w:t xml:space="preserve">филиалы(обособленные подразделения)управа не имеет</w:t>
            </w:r>
          </w:p>
        </w:tc>
      </w:tr>
      <w:tr>
        <w:tc>
          <w:tcPr/>
          <w:p>
            <w:pPr>
              <w:pStyle w:val="Compact"/>
            </w:pPr>
          </w:p>
        </w:tc>
      </w:tr>
      <w:tr>
        <w:tc>
          <w:tcPr/>
          <w:p>
            <w:pPr>
              <w:jc w:val="left"/>
            </w:pPr>
            <w:r>
              <w:rPr>
                <w:bCs/>
                <w:b/>
              </w:rPr>
              <w:t xml:space="preserve">Информация об изменении состава бюджетных полномочий получателей, распорядителей бюджетных средств, находящихся в ведении главного распорядителя (распорядителя) бюджетных средств, а также администраторов находящихся в ведении главных администраторов источников финансирования дефицита бюджета, главных администраторов доходов бюджета</w:t>
            </w:r>
          </w:p>
        </w:tc>
      </w:tr>
      <w:tr>
        <w:tc>
          <w:tcPr/>
          <w:p>
            <w:pPr>
              <w:jc w:val="left"/>
            </w:pPr>
            <w:r>
              <w:t xml:space="preserve">"Бюджетные полномочия в отчетном периоде у учреждения не изменялись. Бюджетная отчетность составляется на следующие даты: месячная - на первое число месяца, следующего за отчетным, квартальная - по состоянию на 1 апреля, 1 июля и 1 октября текущего года, годовая - на 1 января года, следующего за отчетным.3. Отчетным годом является календарный год - с 1 января по 31 декабря включительно. Месячная и квартальная отчетность является промежуточной и составляется нарастающим итогом с начала текущего финансового года."</w:t>
            </w:r>
          </w:p>
        </w:tc>
      </w:tr>
      <w:tr>
        <w:tc>
          <w:tcPr/>
          <w:p>
            <w:pPr>
              <w:pStyle w:val="Compact"/>
            </w:pPr>
          </w:p>
        </w:tc>
      </w:tr>
      <w:tr>
        <w:tc>
          <w:tcPr/>
          <w:p>
            <w:pPr>
              <w:jc w:val="left"/>
            </w:pPr>
            <w:r>
              <w:rPr>
                <w:bCs/>
                <w:b/>
              </w:rPr>
              <w:t xml:space="preserve">Информация о передаче полномочий по ведению бухгалтерского учета иной организации (централизованной бухгалтерии) на основании договора (соглашения) с указанием их реквизитов</w:t>
            </w:r>
          </w:p>
        </w:tc>
      </w:tr>
      <w:tr>
        <w:tc>
          <w:tcPr/>
          <w:p>
            <w:pPr>
              <w:jc w:val="left"/>
            </w:pPr>
            <w:r>
              <w:t xml:space="preserve">Информация о передаче полномочий по ведению бухгалтерского учета иной организации (централизованной бухгалтерии) на основании договора (соглашения) с указанием их реквизитов отсутствует.Полномочия по ведению бухгалтерского учета принадлежат бухгалтерии управы Красносельского района города Москвы, которую возглавляет главный бухгалтер.</w:t>
            </w:r>
          </w:p>
        </w:tc>
      </w:tr>
      <w:tr>
        <w:tc>
          <w:tcPr/>
          <w:p>
            <w:pPr>
              <w:pStyle w:val="Compact"/>
            </w:pPr>
          </w:p>
        </w:tc>
      </w:tr>
      <w:tr>
        <w:tc>
          <w:tcPr/>
          <w:p>
            <w:pPr>
              <w:jc w:val="left"/>
            </w:pPr>
            <w:r>
              <w:rPr>
                <w:bCs/>
                <w:b/>
              </w:rPr>
              <w:t xml:space="preserve">Информация об исполнителе (ФИО, должность) централизованной бухгалтерии, составившем бухгалтерскую отчетность</w:t>
            </w:r>
          </w:p>
        </w:tc>
      </w:tr>
      <w:tr>
        <w:tc>
          <w:tcPr/>
          <w:p>
            <w:pPr>
              <w:jc w:val="left"/>
            </w:pPr>
            <w:r>
              <w:t xml:space="preserve">Информация отсутствует.</w:t>
            </w:r>
          </w:p>
        </w:tc>
      </w:tr>
      <w:tr>
        <w:tc>
          <w:tcPr/>
          <w:p>
            <w:pPr>
              <w:pStyle w:val="Compact"/>
            </w:pPr>
          </w:p>
        </w:tc>
      </w:tr>
      <w:tr>
        <w:tc>
          <w:tcPr/>
          <w:p>
            <w:pPr>
              <w:jc w:val="left"/>
            </w:pPr>
            <w:r>
              <w:rPr>
                <w:bCs/>
                <w:b/>
              </w:rPr>
              <w:t xml:space="preserve">Информация, оказавшая существенное влияние и характеризующая организационную структуру субъекта бюджетной отчетности за отчетный период, не нашедшая отражения в таблицах и приложениях</w:t>
            </w:r>
          </w:p>
        </w:tc>
      </w:tr>
      <w:tr>
        <w:tc>
          <w:tcPr/>
          <w:p>
            <w:pPr>
              <w:jc w:val="left"/>
            </w:pPr>
            <w:r>
              <w:t xml:space="preserve">"Учреждение является юридическим лицом, самостоятельно ведет финансово-хозяйственную деятельность. Бухгалтерский учет осуществляется отделом бухгалтерского учета, организации и проведения конкурсов и аукционов (далее – бухгалтерия), возглавляемым начальником отдела – главным бухгалтером. Деятельность бухгалтерии регламентируется должностными регламентами сотрудников. Касса для выдачи наличных денежных средств в учреждении отсутствует. Все расчеты осуществляются в безналичном порядке."</w:t>
            </w:r>
          </w:p>
        </w:tc>
      </w:tr>
      <w:tr>
        <w:tc>
          <w:tcPr/>
          <w:p>
            <w:pPr>
              <w:pStyle w:val="Compact"/>
            </w:pPr>
          </w:p>
        </w:tc>
      </w:tr>
      <w:tr>
        <w:tc>
          <w:tcPr/>
          <w:p>
            <w:pPr>
              <w:jc w:val="left"/>
            </w:pPr>
            <w:r>
              <w:rPr>
                <w:bCs/>
                <w:b/>
              </w:rPr>
              <w:t xml:space="preserve">Прочая информация</w:t>
            </w:r>
          </w:p>
        </w:tc>
      </w:tr>
      <w:tr>
        <w:tc>
          <w:tcPr/>
          <w:p>
            <w:pPr>
              <w:jc w:val="left"/>
            </w:pPr>
            <w:r>
              <w:t xml:space="preserve">В ведомственном подчинении управы находится 2 учреждения – 2 типа учреждений:1. Государственное казенное учреждение - ГКУ «ИС Красносельского района»,2. Государственное бюджетное учреждение ГБУ «Жилищник Красносельского района. Учредителем учреждений является префектура Центрального административного округа города Москвы. Учреждения имеют обособленное имущество, самостоятельный баланс, лицевой счет, печать со своим наименованием, бланки, штампы. Учреждения осуществляют свою деятельность в соответствии с законами и иными нормативными правовыми актами Российской Федерации, а также уставом. Учреждения созданы для оказания (выполнения) государственных услуг, работ и государственных функций в сфере функционирования жилищно-коммунального хозяйства и благоустройства города Москвы.</w:t>
            </w:r>
          </w:p>
        </w:tc>
      </w:tr>
      <w:tr>
        <w:tc>
          <w:tcPr/>
          <w:p>
            <w:pPr>
              <w:pStyle w:val="Compact"/>
            </w:pPr>
          </w:p>
        </w:tc>
      </w:tr>
      <w:tr>
        <w:tc>
          <w:tcPr/>
          <w:p>
            <w:pPr>
              <w:pStyle w:val="Compact"/>
            </w:pPr>
          </w:p>
        </w:tc>
      </w:tr>
    </w:tbl>
    <w:p>
      <w:pPr>
        <w:pStyle w:val="BodyText"/>
      </w:pPr>
      <w:r>
        <w:rPr>
          <w:bCs/>
          <w:b/>
        </w:rPr>
        <w:t xml:space="preserve">Раздел 2 «Результаты деятельности субъекта бюджетной отчетности»</w:t>
      </w:r>
    </w:p>
    <w:tbl>
      <w:tblPr>
        <w:tblStyle w:val="Table"/>
        <w:tblW w:type="auto" w:w="0"/>
        <w:tblLook w:firstRow="0" w:lastRow="0" w:firstColumn="0" w:lastColumn="0" w:noHBand="0" w:noVBand="0" w:val="0000"/>
      </w:tblPr>
      <w:tblGrid>
        <w:gridCol w:w="7920"/>
      </w:tblGrid>
      <w:tr>
        <w:tc>
          <w:tcPr/>
          <w:p>
            <w:pPr>
              <w:pStyle w:val="Compact"/>
            </w:pPr>
          </w:p>
        </w:tc>
      </w:tr>
      <w:tr>
        <w:tc>
          <w:tcPr/>
          <w:p>
            <w:pPr>
              <w:pStyle w:val="Compact"/>
            </w:pPr>
          </w:p>
        </w:tc>
      </w:tr>
      <w:tr>
        <w:tc>
          <w:tcPr/>
          <w:p>
            <w:pPr>
              <w:pStyle w:val="Compact"/>
            </w:pPr>
          </w:p>
        </w:tc>
      </w:tr>
      <w:tr>
        <w:tc>
          <w:tcPr/>
          <w:p>
            <w:pPr>
              <w:jc w:val="left"/>
            </w:pPr>
            <w:r>
              <w:rPr>
                <w:bCs/>
                <w:b/>
              </w:rPr>
              <w:t xml:space="preserve">Информация, оказавшая существенное влияние и характеризующая результаты деятельности субъекта бюджетной отчетности за отчетный период, не нашедшая отражения в таблицах и приложениях</w:t>
            </w:r>
          </w:p>
        </w:tc>
      </w:tr>
      <w:tr>
        <w:tc>
          <w:tcPr/>
          <w:p>
            <w:pPr>
              <w:jc w:val="left"/>
            </w:pPr>
            <w:r>
              <w:t xml:space="preserve">.В управе Красносельского района города Москвы проводится систематический контроль за составлением заключенных договоров, контролируется составление заключаемых договоров в пределах утвержденных лимитов бюджетных обязательств и законностью совершаемых операций, проводится анализ соответствия кассовых расходов с производимыми фактическими расходами, проводится проверка составления перечня и номенклатуры полученных товаров (работ, услуг) и номенклатуры оплачиваемых товаров (работ, услуг) согласно договора. Заключение государственных контрактов на поставки товаров, выполнение работ,оказание услуг для государственных нужд округа осуществлялось в пределах утвержденных бюджетных ассигнований в соответствии с утвержденной бюджетной сметой учреждения.</w:t>
            </w:r>
          </w:p>
        </w:tc>
      </w:tr>
      <w:tr>
        <w:tc>
          <w:tcPr/>
          <w:p>
            <w:pPr>
              <w:pStyle w:val="Compact"/>
            </w:pPr>
          </w:p>
        </w:tc>
      </w:tr>
      <w:tr>
        <w:tc>
          <w:tcPr/>
          <w:p>
            <w:pPr>
              <w:jc w:val="left"/>
            </w:pPr>
            <w:r>
              <w:rPr>
                <w:bCs/>
                <w:b/>
              </w:rPr>
              <w:t xml:space="preserve">Прочая информация</w:t>
            </w:r>
          </w:p>
        </w:tc>
      </w:tr>
      <w:tr>
        <w:tc>
          <w:tcPr/>
          <w:p>
            <w:pPr>
              <w:jc w:val="left"/>
            </w:pPr>
            <w:r>
              <w:t xml:space="preserve">В целях сохранности материальной базы учреждения проводится ежегодная инвентаризация перед составлением годовой бюджетной отчетности.</w:t>
            </w:r>
          </w:p>
        </w:tc>
      </w:tr>
      <w:tr>
        <w:tc>
          <w:tcPr/>
          <w:p>
            <w:pPr>
              <w:pStyle w:val="Compact"/>
            </w:pPr>
          </w:p>
        </w:tc>
      </w:tr>
      <w:tr>
        <w:tc>
          <w:tcPr/>
          <w:p>
            <w:pPr>
              <w:pStyle w:val="Compact"/>
            </w:pPr>
          </w:p>
        </w:tc>
      </w:tr>
    </w:tbl>
    <w:p>
      <w:pPr>
        <w:pStyle w:val="BodyText"/>
      </w:pPr>
      <w:r>
        <w:rPr>
          <w:bCs/>
          <w:b/>
        </w:rPr>
        <w:t xml:space="preserve">Раздел 3 «Анализ отчета об исполнении бюджета субъектом бюджетной отчетности»</w:t>
      </w:r>
    </w:p>
    <w:tbl>
      <w:tblPr>
        <w:tblStyle w:val="Table"/>
        <w:tblW w:type="auto" w:w="0"/>
        <w:tblLook w:firstRow="0" w:lastRow="0" w:firstColumn="0" w:lastColumn="0" w:noHBand="0" w:noVBand="0" w:val="0000"/>
      </w:tblPr>
      <w:tblGrid>
        <w:gridCol w:w="7920"/>
      </w:tblGrid>
      <w:tr>
        <w:tc>
          <w:tcPr/>
          <w:p>
            <w:pPr>
              <w:pStyle w:val="Compact"/>
            </w:pPr>
          </w:p>
        </w:tc>
      </w:tr>
      <w:tr>
        <w:tc>
          <w:tcPr/>
          <w:p>
            <w:pPr>
              <w:pStyle w:val="Compact"/>
            </w:pPr>
          </w:p>
        </w:tc>
      </w:tr>
      <w:tr>
        <w:tc>
          <w:tcPr/>
          <w:p>
            <w:pPr>
              <w:pStyle w:val="Compact"/>
            </w:pPr>
          </w:p>
        </w:tc>
      </w:tr>
      <w:tr>
        <w:tc>
          <w:tcPr/>
          <w:p>
            <w:pPr>
              <w:jc w:val="left"/>
            </w:pPr>
            <w:r>
              <w:rPr>
                <w:bCs/>
                <w:b/>
              </w:rPr>
              <w:t xml:space="preserve">Информация по некассовым операциям, отраженным в ф. 0503127 (характеристика операций)</w:t>
            </w:r>
          </w:p>
        </w:tc>
      </w:tr>
      <w:tr>
        <w:tc>
          <w:tcPr/>
          <w:p>
            <w:pPr>
              <w:jc w:val="left"/>
            </w:pPr>
            <w:r>
              <w:t xml:space="preserve">Некассовые операции отсутствуют</w:t>
            </w:r>
          </w:p>
        </w:tc>
      </w:tr>
      <w:tr>
        <w:tc>
          <w:tcPr/>
          <w:p>
            <w:pPr>
              <w:pStyle w:val="Compact"/>
            </w:pPr>
          </w:p>
        </w:tc>
      </w:tr>
      <w:tr>
        <w:tc>
          <w:tcPr/>
          <w:p>
            <w:pPr>
              <w:jc w:val="left"/>
            </w:pPr>
            <w:r>
              <w:rPr>
                <w:bCs/>
                <w:b/>
              </w:rPr>
              <w:t xml:space="preserve">Расшифровка курсовой разницы отраженной в ф.0503127 в разрезе следующих показателей (положительная курсовая разница, отрицательная курсовая разница, начисленная по доходам или расходам)</w:t>
            </w:r>
          </w:p>
        </w:tc>
      </w:tr>
      <w:tr>
        <w:tc>
          <w:tcPr/>
          <w:p>
            <w:pPr>
              <w:jc w:val="left"/>
            </w:pPr>
            <w:r>
              <w:t xml:space="preserve">Информация о курсовой разнице в форме 0503127 отсутствует.</w:t>
            </w:r>
          </w:p>
        </w:tc>
      </w:tr>
      <w:tr>
        <w:tc>
          <w:tcPr/>
          <w:p>
            <w:pPr>
              <w:pStyle w:val="Compact"/>
            </w:pPr>
          </w:p>
        </w:tc>
      </w:tr>
      <w:tr>
        <w:tc>
          <w:tcPr/>
          <w:p>
            <w:pPr>
              <w:jc w:val="left"/>
            </w:pPr>
            <w:r>
              <w:rPr>
                <w:bCs/>
                <w:b/>
              </w:rPr>
              <w:t xml:space="preserve">Сведения, раскрывающие информацию о ходе реализации государственными (муниципальными) бюджетными и автономными учреждениями национальных проектов (программ), комплексного плана модернизации и расширения магистральной инфраструктуры (региональных проектов в составе национальных проектов) за счет средств субсидии на иные цели и субсидии на цели осуществления капитальных вложений, с указанием причин образования остатков средств целевых субсидий</w:t>
            </w:r>
          </w:p>
        </w:tc>
      </w:tr>
      <w:tr>
        <w:tc>
          <w:tcPr/>
          <w:p>
            <w:pPr>
              <w:jc w:val="left"/>
            </w:pPr>
            <w:r>
              <w:t xml:space="preserve">Сведения отсутствуют, национальные и инвестиционные проекты учреждением не исполнялись.</w:t>
            </w:r>
          </w:p>
        </w:tc>
      </w:tr>
      <w:tr>
        <w:tc>
          <w:tcPr/>
          <w:p>
            <w:pPr>
              <w:pStyle w:val="Compact"/>
            </w:pPr>
          </w:p>
        </w:tc>
      </w:tr>
      <w:tr>
        <w:tc>
          <w:tcPr/>
          <w:p>
            <w:pPr>
              <w:jc w:val="left"/>
            </w:pPr>
            <w:r>
              <w:rPr>
                <w:bCs/>
                <w:b/>
              </w:rPr>
              <w:t xml:space="preserve">Информация, раскрывающая данные о неисполненных принятых бюджетных обязательствах и денежных обязательствах в ходе реализации национальных проектов (программ), комплексного плана модернизации и расширения магистральной инфраструктуры (региональных проектов в составе национальных проектов) (на основании ф.0503128-НП)</w:t>
            </w:r>
          </w:p>
        </w:tc>
      </w:tr>
      <w:tr>
        <w:tc>
          <w:tcPr/>
          <w:p>
            <w:pPr>
              <w:jc w:val="left"/>
            </w:pPr>
            <w:r>
              <w:t xml:space="preserve">Информация отсутствует</w:t>
            </w:r>
          </w:p>
        </w:tc>
      </w:tr>
      <w:tr>
        <w:tc>
          <w:tcPr/>
          <w:p>
            <w:pPr>
              <w:pStyle w:val="Compact"/>
            </w:pPr>
          </w:p>
        </w:tc>
      </w:tr>
      <w:tr>
        <w:tc>
          <w:tcPr/>
          <w:p>
            <w:pPr>
              <w:jc w:val="left"/>
            </w:pPr>
            <w:r>
              <w:rPr>
                <w:bCs/>
                <w:b/>
              </w:rPr>
              <w:t xml:space="preserve">Прочая информация</w:t>
            </w:r>
          </w:p>
        </w:tc>
      </w:tr>
      <w:tr>
        <w:tc>
          <w:tcPr/>
          <w:p>
            <w:pPr>
              <w:jc w:val="left"/>
            </w:pPr>
            <w:r>
              <w:t xml:space="preserve">"Показатели исполнения бюджета и процент исполнения отражены в отчете (ф. 0503127) и (ф. 0503164) на 01.04.2021."</w:t>
            </w:r>
          </w:p>
        </w:tc>
      </w:tr>
      <w:tr>
        <w:tc>
          <w:tcPr/>
          <w:p>
            <w:pPr>
              <w:pStyle w:val="Compact"/>
            </w:pPr>
          </w:p>
        </w:tc>
      </w:tr>
      <w:tr>
        <w:tc>
          <w:tcPr/>
          <w:p>
            <w:pPr>
              <w:pStyle w:val="Compact"/>
            </w:pPr>
          </w:p>
        </w:tc>
      </w:tr>
    </w:tbl>
    <w:p>
      <w:pPr>
        <w:pStyle w:val="BodyText"/>
      </w:pPr>
      <w:r>
        <w:rPr>
          <w:bCs/>
          <w:b/>
        </w:rPr>
        <w:t xml:space="preserve">Раздел 4 «Анализ показателей бухгалтерской отчетности субъекта бюджетной отчетности»</w:t>
      </w:r>
    </w:p>
    <w:tbl>
      <w:tblPr>
        <w:tblStyle w:val="Table"/>
        <w:tblW w:type="auto" w:w="0"/>
        <w:tblLook w:firstRow="0" w:lastRow="0" w:firstColumn="0" w:lastColumn="0" w:noHBand="0" w:noVBand="0" w:val="0000"/>
      </w:tblPr>
      <w:tblGrid>
        <w:gridCol w:w="7920"/>
      </w:tblGrid>
      <w:tr>
        <w:tc>
          <w:tcPr/>
          <w:p>
            <w:pPr>
              <w:pStyle w:val="Compact"/>
            </w:pPr>
          </w:p>
        </w:tc>
      </w:tr>
      <w:tr>
        <w:tc>
          <w:tcPr/>
          <w:p>
            <w:pPr>
              <w:pStyle w:val="Compact"/>
            </w:pPr>
          </w:p>
        </w:tc>
      </w:tr>
      <w:tr>
        <w:tc>
          <w:tcPr/>
          <w:p>
            <w:pPr>
              <w:pStyle w:val="Compact"/>
            </w:pPr>
          </w:p>
        </w:tc>
      </w:tr>
      <w:tr>
        <w:tc>
          <w:tcPr/>
          <w:p>
            <w:pPr>
              <w:jc w:val="left"/>
            </w:pPr>
            <w:r>
              <w:rPr>
                <w:bCs/>
                <w:b/>
              </w:rPr>
              <w:t xml:space="preserve">Иная информация об изменении остатков валюты баланса отраженная в ф.0503173</w:t>
            </w:r>
          </w:p>
        </w:tc>
      </w:tr>
      <w:tr>
        <w:tc>
          <w:tcPr/>
          <w:p>
            <w:pPr>
              <w:jc w:val="left"/>
            </w:pPr>
            <w:r>
              <w:t xml:space="preserve">Остатки валюты баланса не менялись</w:t>
            </w:r>
          </w:p>
        </w:tc>
      </w:tr>
      <w:tr>
        <w:tc>
          <w:tcPr/>
          <w:p>
            <w:pPr>
              <w:pStyle w:val="Compact"/>
            </w:pPr>
          </w:p>
        </w:tc>
      </w:tr>
      <w:tr>
        <w:tc>
          <w:tcPr/>
          <w:p>
            <w:pPr>
              <w:jc w:val="left"/>
            </w:pPr>
            <w:r>
              <w:rPr>
                <w:bCs/>
                <w:b/>
              </w:rPr>
              <w:t xml:space="preserve">Информация о причинах (целях) открытия счетов в кредитных организациях, о причинах образования остатка денежных средств на счетах, а также обоснование необходимости наличия банковских счетов в случае отсутствия по ним операций в течении 2-х и более лет (на основании ф.0503178-бюжетная деятельность)</w:t>
            </w:r>
          </w:p>
        </w:tc>
      </w:tr>
      <w:tr>
        <w:tc>
          <w:tcPr/>
          <w:p>
            <w:pPr>
              <w:jc w:val="left"/>
            </w:pPr>
            <w:r>
              <w:t xml:space="preserve">Информация об открытых счетах в кредитных организациях отсутствует.</w:t>
            </w:r>
          </w:p>
        </w:tc>
      </w:tr>
      <w:tr>
        <w:tc>
          <w:tcPr/>
          <w:p>
            <w:pPr>
              <w:pStyle w:val="Compact"/>
            </w:pPr>
          </w:p>
        </w:tc>
      </w:tr>
      <w:tr>
        <w:tc>
          <w:tcPr/>
          <w:p>
            <w:pPr>
              <w:jc w:val="left"/>
            </w:pPr>
            <w:r>
              <w:rPr>
                <w:bCs/>
                <w:b/>
              </w:rPr>
              <w:t xml:space="preserve">Информация о причинах (целях) открытия счетов в кредитных организациях, о причинах образования остатка денежных средств на счетах в кредитной организации (на основании ф.0503178-средства во временном распоряжении)</w:t>
            </w:r>
          </w:p>
        </w:tc>
      </w:tr>
      <w:tr>
        <w:tc>
          <w:tcPr/>
          <w:p>
            <w:pPr>
              <w:jc w:val="left"/>
            </w:pPr>
            <w:r>
              <w:t xml:space="preserve">Счетов, открытых в кредитных организациях и остатков на денежных средств на них, нет.</w:t>
            </w:r>
          </w:p>
        </w:tc>
      </w:tr>
      <w:tr>
        <w:tc>
          <w:tcPr/>
          <w:p>
            <w:pPr>
              <w:pStyle w:val="Compact"/>
            </w:pPr>
          </w:p>
        </w:tc>
      </w:tr>
      <w:tr>
        <w:tc>
          <w:tcPr/>
          <w:p>
            <w:pPr>
              <w:jc w:val="left"/>
            </w:pPr>
            <w:r>
              <w:rPr>
                <w:bCs/>
                <w:b/>
              </w:rPr>
              <w:t xml:space="preserve">Иная информация, оказавшая существенное влияние и характеризующая показатели бюджетной отчетности за отчетный период, не нашедшая отражения формах отчетов, таблицах и приложениях, включаемых в раздел</w:t>
            </w:r>
          </w:p>
        </w:tc>
      </w:tr>
      <w:tr>
        <w:tc>
          <w:tcPr/>
          <w:p>
            <w:pPr>
              <w:jc w:val="left"/>
            </w:pPr>
            <w:r>
              <w:t xml:space="preserve">Информация отсутствует</w:t>
            </w:r>
          </w:p>
        </w:tc>
      </w:tr>
      <w:tr>
        <w:tc>
          <w:tcPr/>
          <w:p>
            <w:pPr>
              <w:pStyle w:val="Compact"/>
            </w:pPr>
          </w:p>
        </w:tc>
      </w:tr>
      <w:tr>
        <w:tc>
          <w:tcPr/>
          <w:p>
            <w:pPr>
              <w:jc w:val="left"/>
            </w:pPr>
            <w:r>
              <w:rPr>
                <w:bCs/>
                <w:b/>
              </w:rPr>
              <w:t xml:space="preserve">Прочая информация</w:t>
            </w:r>
          </w:p>
        </w:tc>
      </w:tr>
      <w:tr>
        <w:tc>
          <w:tcPr/>
          <w:p>
            <w:pPr>
              <w:jc w:val="left"/>
            </w:pPr>
            <w:r>
              <w:t xml:space="preserve">Прочая информация отсутствует</w:t>
            </w:r>
          </w:p>
        </w:tc>
      </w:tr>
      <w:tr>
        <w:tc>
          <w:tcPr/>
          <w:p>
            <w:pPr>
              <w:pStyle w:val="Compact"/>
            </w:pPr>
          </w:p>
        </w:tc>
      </w:tr>
      <w:tr>
        <w:tc>
          <w:tcPr/>
          <w:p>
            <w:pPr>
              <w:pStyle w:val="Compact"/>
            </w:pPr>
          </w:p>
        </w:tc>
      </w:tr>
    </w:tbl>
    <w:p>
      <w:pPr>
        <w:pStyle w:val="BodyText"/>
      </w:pPr>
      <w:r>
        <w:rPr>
          <w:bCs/>
          <w:b/>
        </w:rPr>
        <w:t xml:space="preserve">Раздел 5 «Прочие вопросы деятельности субъекта бюджетной отчетности»</w:t>
      </w:r>
    </w:p>
    <w:tbl>
      <w:tblPr>
        <w:tblStyle w:val="Table"/>
        <w:tblW w:type="auto" w:w="0"/>
        <w:tblLook w:firstRow="0" w:lastRow="0" w:firstColumn="0" w:lastColumn="0" w:noHBand="0" w:noVBand="0" w:val="0000"/>
      </w:tblPr>
      <w:tblGrid>
        <w:gridCol w:w="7920"/>
      </w:tblGrid>
      <w:tr>
        <w:tc>
          <w:tcPr/>
          <w:p>
            <w:pPr>
              <w:jc w:val="left"/>
            </w:pPr>
            <w:r>
              <w:rPr>
                <w:bCs/>
                <w:b/>
              </w:rPr>
              <w:t xml:space="preserve">Перечень правовых актов главного распорядителя бюджетных средств, главного администратора источников финансирования дефицита бюджета, главного администратора доходов бюджетов, регулирующих ведение бюджетного (бухгалтерского) учета и составление отчетности</w:t>
            </w:r>
          </w:p>
        </w:tc>
      </w:tr>
      <w:tr>
        <w:tc>
          <w:tcPr/>
          <w:p>
            <w:pPr>
              <w:jc w:val="left"/>
            </w:pPr>
            <w:r>
              <w:t xml:space="preserve">"Федеральный закон от 06.12.2011 N 402-ФЗ ""О бухгалтерском учете""; Приказ Минфина РФ от 01.12.2010 N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Приказ Минфина РФ от 16.12.2010 N 174н ""Об утверждении Плана счетов бухгалтерского учета бюджетных учреждений и Инструкции по его применению""; Приказ Минфина России от 31.12.2016 N 257н ""Об утверждении федерального стандарта бухгалтерского учета для организаций государственного сектора ""Основные средства""; Приказ Минфина России от 31.12.2016 N 258н ""Об утверждении федерального стандарта бухгалтерского учета для организаций государственного сектора ""Аренда""; Приказ Минфина России от 31.12.2016 N 259н ""Об утверждении федерального стандарта бухгалтерского учета для организаций государственного сектора ""Обесценение активов""; Приказ Минфина России от 31.12.2016 N 260н ""Об утверждении федерального стандарта бухгалтерского учета для организаций государственного сектора ""Представление бухгалтерской (финансовой) отчетности""; Приказ Минфина России от 30.03.2015 N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Приказ Минфина России от 01.07.2013 N 65н ""Об утверждении Указаний о порядке применения бюджетной классификации Российской Федерации"".</w:t>
            </w:r>
          </w:p>
        </w:tc>
      </w:tr>
      <w:tr>
        <w:tc>
          <w:tcPr/>
          <w:p>
            <w:pPr>
              <w:pStyle w:val="Compact"/>
            </w:pPr>
          </w:p>
        </w:tc>
      </w:tr>
      <w:tr>
        <w:tc>
          <w:tcPr/>
          <w:p>
            <w:pPr>
              <w:pStyle w:val="Compact"/>
            </w:pPr>
          </w:p>
        </w:tc>
      </w:tr>
      <w:tr>
        <w:tc>
          <w:tcPr/>
          <w:p>
            <w:pPr>
              <w:pStyle w:val="Compact"/>
            </w:pPr>
          </w:p>
        </w:tc>
      </w:tr>
      <w:tr>
        <w:tc>
          <w:tcPr/>
          <w:p>
            <w:pPr>
              <w:pStyle w:val="Compact"/>
            </w:pPr>
          </w:p>
        </w:tc>
      </w:tr>
      <w:tr>
        <w:tc>
          <w:tcPr/>
          <w:p>
            <w:pPr>
              <w:jc w:val="left"/>
            </w:pPr>
            <w:r>
              <w:rPr>
                <w:bCs/>
                <w:b/>
              </w:rPr>
              <w:t xml:space="preserve">Перечень правовых актов главного распорядителя бюджетных средств, главного администратора источников финансирования дефицита бюджета, главного администратора доходов бюджетов, регулирующих ведение бюджетного (бухгалтерского) учета и составление отчетности в системе подведомственных ему получателей бюджетных средств, администраторов источников финансирования дефицита бюджета, администраторов доходов бюджета, соответственно</w:t>
            </w:r>
          </w:p>
        </w:tc>
      </w:tr>
      <w:tr>
        <w:tc>
          <w:tcPr/>
          <w:p>
            <w:pPr>
              <w:jc w:val="left"/>
            </w:pPr>
            <w:r>
              <w:t xml:space="preserve">Бухгалтерам госучреждений (в том числе казенных) при составлении отчетности необходимо соблюдать две основополагающие инструкции: о порядке составления и предоставления годовой, квартальной и месячной отчетности об исполнении бюджетов бюджетной системы Российской Федерации, утвержденную приказом Министерства финансов Российской Федерации от 28.12.2010 № 191н и поправками к ней; о порядке составления, представления годовой, квартальной бухгалтерской отчетности государственных (муниципальных) бюджетных и автономных организаций, введенную приказом Министерства финансов Российской Федерации от 25.03.2011 № 33н и поправками к ней</w:t>
            </w:r>
          </w:p>
        </w:tc>
      </w:tr>
      <w:tr>
        <w:tc>
          <w:tcPr/>
          <w:p>
            <w:pPr>
              <w:pStyle w:val="Compact"/>
            </w:pPr>
          </w:p>
        </w:tc>
      </w:tr>
      <w:tr>
        <w:tc>
          <w:tcPr/>
          <w:p>
            <w:pPr>
              <w:jc w:val="left"/>
            </w:pPr>
            <w:r>
              <w:rPr>
                <w:bCs/>
                <w:b/>
              </w:rPr>
              <w:t xml:space="preserve">Информация об исполнении судебных решений отраженная в ф.0503296 «Сведения об исполнении судебных решений по денежным обязательствам бюджета» (причины возникновения обязательств по судебным решениям, характер задолженности, причины неисполнения обязательств, причины увеличения задолженности, а также меры по ее устранению). Правовое основание возникновения задолженности в части неисполненных судебных решений по КОСГУ 296, КОСГУ 297</w:t>
            </w:r>
          </w:p>
        </w:tc>
      </w:tr>
      <w:tr>
        <w:tc>
          <w:tcPr/>
          <w:p>
            <w:pPr>
              <w:jc w:val="left"/>
            </w:pPr>
            <w:r>
              <w:t xml:space="preserve">Обязательства по судебным решениям на 01.04.2021г. отсутствуют.</w:t>
            </w:r>
          </w:p>
        </w:tc>
      </w:tr>
      <w:tr>
        <w:tc>
          <w:tcPr/>
          <w:p>
            <w:pPr>
              <w:pStyle w:val="Compact"/>
            </w:pPr>
          </w:p>
        </w:tc>
      </w:tr>
      <w:tr>
        <w:tc>
          <w:tcPr/>
          <w:p>
            <w:pPr>
              <w:jc w:val="left"/>
            </w:pPr>
            <w:r>
              <w:rPr>
                <w:bCs/>
                <w:b/>
              </w:rPr>
              <w:t xml:space="preserve">Информация о просроченной кредиторской задолженности отраженная в ф.0503387 «Справочная таблица к отчету об исполнении консолидированного бюджета субъекта Российской Федерации»</w:t>
            </w:r>
          </w:p>
        </w:tc>
      </w:tr>
      <w:tr>
        <w:tc>
          <w:tcPr/>
          <w:p>
            <w:pPr>
              <w:jc w:val="left"/>
            </w:pPr>
            <w:r>
              <w:t xml:space="preserve">Информация представлена в приложении к Пояснительной записке «Анализ просроченной кредиторской задолженности в соответствии с данными бюджетного учета (в части расчетов по принятым обязательствам)»</w:t>
            </w:r>
          </w:p>
        </w:tc>
      </w:tr>
      <w:tr>
        <w:tc>
          <w:tcPr/>
          <w:p>
            <w:pPr>
              <w:pStyle w:val="Compact"/>
            </w:pPr>
          </w:p>
        </w:tc>
      </w:tr>
      <w:tr>
        <w:tc>
          <w:tcPr/>
          <w:p>
            <w:pPr>
              <w:jc w:val="left"/>
            </w:pPr>
            <w:r>
              <w:rPr>
                <w:bCs/>
                <w:b/>
              </w:rPr>
              <w:t xml:space="preserve">Иная информация отраженная в ф.0503387 «Справочная таблица к отчету об исполнении консолидированного бюджета субъекта Российской Федерации» и требующая пояснения</w:t>
            </w:r>
          </w:p>
        </w:tc>
      </w:tr>
      <w:tr>
        <w:tc>
          <w:tcPr/>
          <w:p>
            <w:pPr>
              <w:jc w:val="left"/>
            </w:pPr>
            <w:r>
              <w:t xml:space="preserve">Показатели отсутствуют</w:t>
            </w:r>
          </w:p>
        </w:tc>
      </w:tr>
      <w:tr>
        <w:tc>
          <w:tcPr/>
          <w:p>
            <w:pPr>
              <w:pStyle w:val="Compact"/>
            </w:pPr>
          </w:p>
        </w:tc>
      </w:tr>
      <w:tr>
        <w:tc>
          <w:tcPr/>
          <w:p>
            <w:pPr>
              <w:jc w:val="left"/>
            </w:pPr>
            <w:r>
              <w:rPr>
                <w:bCs/>
                <w:b/>
              </w:rPr>
              <w:t xml:space="preserve">Перечень форм отчетности, не включенных в состав бюджетной отчетности за отчетный период ввиду отсутствия числовых значений показателей (подлежит заполнению при отсутствии возможности формирования и (или) представления бюджетной отчетности средствами программных комплексов)</w:t>
            </w:r>
          </w:p>
        </w:tc>
      </w:tr>
      <w:tr>
        <w:tc>
          <w:tcPr/>
          <w:p>
            <w:pPr>
              <w:jc w:val="left"/>
            </w:pPr>
            <w:r>
              <w:t xml:space="preserve">Формы бюджетной отчетности, не имеющие числовых значений показателей и не содержащие пояснения, сформированы и представлены посредством модуля «Консолидированная бюджетная отчетность» автоматизированной информационной системы Департамента финансов города Москвы с указанием отметки «показатели отсутствуют»</w:t>
            </w:r>
          </w:p>
        </w:tc>
      </w:tr>
      <w:tr>
        <w:tc>
          <w:tcPr/>
          <w:p>
            <w:pPr>
              <w:pStyle w:val="Compact"/>
            </w:pPr>
          </w:p>
        </w:tc>
      </w:tr>
      <w:tr>
        <w:tc>
          <w:tcPr/>
          <w:p>
            <w:pPr>
              <w:jc w:val="left"/>
            </w:pPr>
            <w:r>
              <w:rPr>
                <w:bCs/>
                <w:b/>
              </w:rPr>
              <w:t xml:space="preserve">Иная информация, оказавшая существенное влияние и характеризующая показатели деятельности субъекта бюджетной отчетности за отчетный период, не нашедшая отражения в таблицах и приложениях, включаемых в раздел</w:t>
            </w:r>
          </w:p>
        </w:tc>
      </w:tr>
      <w:tr>
        <w:tc>
          <w:tcPr/>
          <w:p>
            <w:pPr>
              <w:jc w:val="left"/>
            </w:pPr>
            <w:r>
              <w:t xml:space="preserve">Информация отсутствует</w:t>
            </w:r>
          </w:p>
        </w:tc>
      </w:tr>
      <w:tr>
        <w:tc>
          <w:tcPr/>
          <w:p>
            <w:pPr>
              <w:pStyle w:val="Compact"/>
            </w:pPr>
          </w:p>
        </w:tc>
      </w:tr>
      <w:tr>
        <w:tc>
          <w:tcPr/>
          <w:p>
            <w:pPr>
              <w:jc w:val="left"/>
            </w:pPr>
            <w:r>
              <w:rPr>
                <w:bCs/>
                <w:b/>
              </w:rPr>
              <w:t xml:space="preserve">Информация о причинах наличия допустимых отклонений показателей отчета ф.0503324 данным, отраженным в Отчете ф. 0531888, формируемом Управлением Федерального казначейства по г. Москве</w:t>
            </w:r>
          </w:p>
        </w:tc>
      </w:tr>
      <w:tr>
        <w:tc>
          <w:tcPr/>
          <w:p>
            <w:pPr>
              <w:jc w:val="left"/>
            </w:pPr>
            <w:r>
              <w:t xml:space="preserve">Управа Красносельского района города Москвы не является получателем межбюджетных трансфертов.</w:t>
            </w:r>
          </w:p>
        </w:tc>
      </w:tr>
      <w:tr>
        <w:tc>
          <w:tcPr/>
          <w:p>
            <w:pPr>
              <w:pStyle w:val="Compact"/>
            </w:pPr>
          </w:p>
        </w:tc>
      </w:tr>
      <w:tr>
        <w:tc>
          <w:tcPr/>
          <w:p>
            <w:pPr>
              <w:jc w:val="left"/>
            </w:pPr>
            <w:r>
              <w:rPr>
                <w:bCs/>
                <w:b/>
              </w:rPr>
              <w:t xml:space="preserve">Информация о полученных межбюджетных трансфертах находящихся на отчетную дату на счете территориального органа Федерального казначейства, открытом на балансовом счете 40101 «Доходы, распределяемые органами Федерального казначейства между уровнями бюджетной системы Российской Федерации» (на основании ф. 0503184)</w:t>
            </w:r>
          </w:p>
        </w:tc>
      </w:tr>
      <w:tr>
        <w:tc>
          <w:tcPr/>
          <w:p>
            <w:pPr>
              <w:jc w:val="left"/>
            </w:pPr>
            <w:r>
              <w:t xml:space="preserve">Управа Красносельского района города Москвы не является получателем межбюджетных трансфертов.</w:t>
            </w:r>
          </w:p>
        </w:tc>
      </w:tr>
      <w:tr>
        <w:tc>
          <w:tcPr/>
          <w:p>
            <w:pPr>
              <w:pStyle w:val="Compact"/>
            </w:pPr>
          </w:p>
        </w:tc>
      </w:tr>
      <w:tr>
        <w:tc>
          <w:tcPr/>
          <w:p>
            <w:pPr>
              <w:jc w:val="left"/>
            </w:pPr>
            <w:r>
              <w:rPr>
                <w:bCs/>
                <w:b/>
              </w:rPr>
              <w:t xml:space="preserve">Иная информация о межбюджетных трансфертах за отчетный период, не нашедшая отражения в формах отчетов, таблицах и приложениях</w:t>
            </w:r>
          </w:p>
        </w:tc>
      </w:tr>
      <w:tr>
        <w:tc>
          <w:tcPr/>
          <w:p>
            <w:pPr>
              <w:jc w:val="left"/>
            </w:pPr>
            <w:r>
              <w:t xml:space="preserve">Управа Красносельского района города Москвы не является получателем межбюджетных трансфертов.</w:t>
            </w:r>
          </w:p>
        </w:tc>
      </w:tr>
      <w:tr>
        <w:tc>
          <w:tcPr/>
          <w:p>
            <w:pPr>
              <w:pStyle w:val="Compact"/>
            </w:pPr>
          </w:p>
        </w:tc>
      </w:tr>
      <w:tr>
        <w:tc>
          <w:tcPr/>
          <w:p>
            <w:pPr>
              <w:jc w:val="left"/>
            </w:pPr>
            <w:r>
              <w:rPr>
                <w:bCs/>
                <w:b/>
              </w:rPr>
              <w:t xml:space="preserve">Сведения о правопреемственности по всем обязательствам реорганизуемого субъекта бюджетной отчетности в отношении всех кредиторов и должников, включая и обязательства, оспариваемые в суде, а также иная информация, характеризующая показатели бухгалтерской отчетности реорганизуемого субъекта бюджетной отчетности за отчетный период</w:t>
            </w:r>
          </w:p>
        </w:tc>
      </w:tr>
      <w:tr>
        <w:tc>
          <w:tcPr/>
          <w:p>
            <w:pPr>
              <w:jc w:val="left"/>
            </w:pPr>
            <w:r>
              <w:t xml:space="preserve">Информация отсутствует</w:t>
            </w:r>
          </w:p>
        </w:tc>
      </w:tr>
      <w:tr>
        <w:tc>
          <w:tcPr/>
          <w:p>
            <w:pPr>
              <w:pStyle w:val="Compact"/>
            </w:pPr>
          </w:p>
        </w:tc>
      </w:tr>
      <w:tr>
        <w:tc>
          <w:tcPr/>
          <w:p>
            <w:pPr>
              <w:jc w:val="left"/>
            </w:pPr>
            <w:r>
              <w:rPr>
                <w:bCs/>
                <w:b/>
              </w:rPr>
              <w:t xml:space="preserve">Информация об изменении показателей бухгалтерской (финансовой) отчетности в результате исправления ошибок предшествующих годов, обнаруженных после утверждения годовой бухгалтерской (финансовой) отчетности - описание ошибки</w:t>
            </w:r>
          </w:p>
        </w:tc>
      </w:tr>
      <w:tr>
        <w:tc>
          <w:tcPr/>
          <w:p>
            <w:pPr>
              <w:jc w:val="left"/>
            </w:pPr>
            <w:r>
              <w:t xml:space="preserve">Информация отсутствует</w:t>
            </w:r>
          </w:p>
        </w:tc>
      </w:tr>
      <w:tr>
        <w:tc>
          <w:tcPr/>
          <w:p>
            <w:pPr>
              <w:pStyle w:val="Compact"/>
            </w:pPr>
          </w:p>
        </w:tc>
      </w:tr>
      <w:tr>
        <w:tc>
          <w:tcPr/>
          <w:p>
            <w:pPr>
              <w:jc w:val="left"/>
            </w:pPr>
            <w:r>
              <w:rPr>
                <w:bCs/>
                <w:b/>
              </w:rPr>
              <w:t xml:space="preserve">Информация об изменении показателей бухгалтерской (финансовой) отчетности в результате исправления ошибок предшествующих годов, обнаруженных после утверждения годовой бухгалтерской (финансовой) отчетности - сумма корректировки по каждой статье бухгалтерской (финансовой) отчетности за каждый из предшествующих годов, для которых в бухгалтерской (финансовой) отчетности раскрываются сравнительные показатели</w:t>
            </w:r>
          </w:p>
        </w:tc>
      </w:tr>
      <w:tr>
        <w:tc>
          <w:tcPr/>
          <w:p>
            <w:pPr>
              <w:jc w:val="left"/>
            </w:pPr>
            <w:r>
              <w:t xml:space="preserve">Информация отсутствует</w:t>
            </w:r>
          </w:p>
        </w:tc>
      </w:tr>
      <w:tr>
        <w:tc>
          <w:tcPr/>
          <w:p>
            <w:pPr>
              <w:pStyle w:val="Compact"/>
            </w:pPr>
          </w:p>
        </w:tc>
      </w:tr>
      <w:tr>
        <w:tc>
          <w:tcPr/>
          <w:p>
            <w:pPr>
              <w:jc w:val="left"/>
            </w:pPr>
            <w:r>
              <w:rPr>
                <w:bCs/>
                <w:b/>
              </w:rPr>
              <w:t xml:space="preserve">Информация об изменении показателей бухгалтерской (финансовой) отчетности в результате исправления ошибок предшествующих годов, обнаруженных после утверждения годовой бухгалтерской (финансовой) отчетности - общая сумма корректировки на начало самого раннего из предшествующих годов, для которого в бухгалтерской (финансовой) отчетности раскрываются сравнительные показатели</w:t>
            </w:r>
          </w:p>
        </w:tc>
      </w:tr>
      <w:tr>
        <w:tc>
          <w:tcPr/>
          <w:p>
            <w:pPr>
              <w:jc w:val="left"/>
            </w:pPr>
            <w:r>
              <w:t xml:space="preserve">Информация отсутствует</w:t>
            </w:r>
          </w:p>
        </w:tc>
      </w:tr>
      <w:tr>
        <w:tc>
          <w:tcPr/>
          <w:p>
            <w:pPr>
              <w:pStyle w:val="Compact"/>
            </w:pPr>
          </w:p>
        </w:tc>
      </w:tr>
      <w:tr>
        <w:tc>
          <w:tcPr/>
          <w:p>
            <w:pPr>
              <w:jc w:val="left"/>
            </w:pPr>
            <w:r>
              <w:rPr>
                <w:bCs/>
                <w:b/>
              </w:rPr>
              <w:t xml:space="preserve">Информация об изменении показателей бухгалтерской (финансовой) отчетности в результате исправления ошибок предшествующих годов, обнаруженных после утверждения годовой бухгалтерской (финансовой) отчетности - описание причин, по которым корректировка сравнительных показателей бухгалтерской (финансовой) отчетности за один или несколько предшествующих годов не представляется возможным, а также описание способа отражения исправления ошибки с указанием периода, в котором отражены исправления</w:t>
            </w:r>
          </w:p>
        </w:tc>
      </w:tr>
      <w:tr>
        <w:tc>
          <w:tcPr/>
          <w:p>
            <w:pPr>
              <w:jc w:val="left"/>
            </w:pPr>
            <w:r>
              <w:t xml:space="preserve">Информация отсутствует</w:t>
            </w:r>
          </w:p>
        </w:tc>
      </w:tr>
      <w:tr>
        <w:tc>
          <w:tcPr/>
          <w:p>
            <w:pPr>
              <w:pStyle w:val="Compact"/>
            </w:pPr>
          </w:p>
        </w:tc>
      </w:tr>
      <w:tr>
        <w:tc>
          <w:tcPr/>
          <w:p>
            <w:pPr>
              <w:jc w:val="left"/>
            </w:pPr>
            <w:r>
              <w:rPr>
                <w:bCs/>
                <w:b/>
              </w:rPr>
              <w:t xml:space="preserve">Информация об ошибке бухгалтерской (финансовой) отчетности, допущенной в текущем финансовом году (ошибка отчетного года) и выявленной после даты принятия (утверждения) бухгалтерской (финансовой) отчетности (информация о существенности ошибки, описание ошибки (содержания и суммы), а также суммовых значений выполненных корректировок бухгалтерской (финансовой) отчетности)</w:t>
            </w:r>
          </w:p>
        </w:tc>
      </w:tr>
      <w:tr>
        <w:tc>
          <w:tcPr/>
          <w:p>
            <w:pPr>
              <w:jc w:val="left"/>
            </w:pPr>
            <w:r>
              <w:t xml:space="preserve">Информация отсутствует</w:t>
            </w:r>
          </w:p>
        </w:tc>
      </w:tr>
      <w:tr>
        <w:tc>
          <w:tcPr/>
          <w:p>
            <w:pPr>
              <w:pStyle w:val="Compact"/>
            </w:pPr>
          </w:p>
        </w:tc>
      </w:tr>
      <w:tr>
        <w:tc>
          <w:tcPr/>
          <w:p>
            <w:pPr>
              <w:jc w:val="left"/>
            </w:pPr>
            <w:r>
              <w:rPr>
                <w:bCs/>
                <w:b/>
              </w:rPr>
              <w:t xml:space="preserve">Информация о величине затрат по заимствованиям, включенных в расходы текущего финансового периода</w:t>
            </w:r>
          </w:p>
        </w:tc>
      </w:tr>
      <w:tr>
        <w:tc>
          <w:tcPr/>
          <w:p>
            <w:pPr>
              <w:jc w:val="left"/>
            </w:pPr>
            <w:r>
              <w:t xml:space="preserve">Заимствования в отчетном периоде не производились</w:t>
            </w:r>
          </w:p>
        </w:tc>
      </w:tr>
      <w:tr>
        <w:tc>
          <w:tcPr/>
          <w:p>
            <w:pPr>
              <w:pStyle w:val="Compact"/>
            </w:pPr>
          </w:p>
        </w:tc>
      </w:tr>
      <w:tr>
        <w:tc>
          <w:tcPr/>
          <w:p>
            <w:pPr>
              <w:jc w:val="left"/>
            </w:pPr>
            <w:r>
              <w:rPr>
                <w:bCs/>
                <w:b/>
              </w:rPr>
              <w:t xml:space="preserve">Информация о суммах изменений вступительного баланса, связанных с внедрением федеральных стандартов бухгалтерского учета государственных финансов в отчетном периоде</w:t>
            </w:r>
          </w:p>
        </w:tc>
      </w:tr>
      <w:tr>
        <w:tc>
          <w:tcPr/>
          <w:p>
            <w:pPr>
              <w:jc w:val="left"/>
            </w:pPr>
            <w:r>
              <w:t xml:space="preserve">Информация отсутствует</w:t>
            </w:r>
          </w:p>
        </w:tc>
      </w:tr>
      <w:tr>
        <w:tc>
          <w:tcPr/>
          <w:p>
            <w:pPr>
              <w:pStyle w:val="Compact"/>
            </w:pPr>
          </w:p>
        </w:tc>
      </w:tr>
      <w:tr>
        <w:tc>
          <w:tcPr/>
          <w:p>
            <w:pPr>
              <w:jc w:val="left"/>
            </w:pPr>
            <w:r>
              <w:rPr>
                <w:bCs/>
                <w:b/>
              </w:rPr>
              <w:t xml:space="preserve">Прочая информация</w:t>
            </w:r>
          </w:p>
        </w:tc>
      </w:tr>
      <w:tr>
        <w:tc>
          <w:tcPr/>
          <w:p>
            <w:pPr>
              <w:jc w:val="left"/>
            </w:pPr>
            <w:r>
              <w:t xml:space="preserve">Прочая информация отсутствует</w:t>
            </w:r>
          </w:p>
        </w:tc>
      </w:tr>
      <w:tr>
        <w:tc>
          <w:tcPr/>
          <w:p>
            <w:pPr>
              <w:pStyle w:val="Compact"/>
            </w:pPr>
          </w:p>
        </w:tc>
      </w:tr>
      <w:tr>
        <w:tc>
          <w:tcPr/>
          <w:p>
            <w:pPr>
              <w:pStyle w:val="Compact"/>
            </w:pPr>
          </w:p>
        </w:tc>
      </w:tr>
    </w:tbl>
    <w:p>
      <w:pPr>
        <w:pStyle w:val="BodyText"/>
      </w:pPr>
      <w:r>
        <w:br/>
      </w:r>
    </w:p>
    <w:p>
      <w:pPr>
        <w:pStyle w:val="BodyText"/>
      </w:pPr>
      <w:r>
        <w:rPr>
          <w:bCs/>
          <w:b/>
        </w:rPr>
        <w:t xml:space="preserve">Информация о причинах отклонений показателей представленных форм отчетности по внутридокументным контрольным соотношениям, установленным в автоматизированной информационной системе Департамента финансов (в части допустимых отклонений, требующих пояснений)</w:t>
      </w:r>
    </w:p>
    <w:tbl>
      <w:tblPr>
        <w:tblStyle w:val="Table"/>
        <w:tblW w:type="auto" w:w="0"/>
        <w:tblLook w:firstRow="0" w:lastRow="0" w:firstColumn="0" w:lastColumn="0" w:noHBand="0" w:noVBand="0" w:val="0000"/>
      </w:tblPr>
      <w:tblGrid>
        <w:gridCol w:w="880"/>
        <w:gridCol w:w="880"/>
        <w:gridCol w:w="880"/>
        <w:gridCol w:w="880"/>
        <w:gridCol w:w="880"/>
        <w:gridCol w:w="880"/>
        <w:gridCol w:w="880"/>
        <w:gridCol w:w="880"/>
        <w:gridCol w:w="880"/>
      </w:tblGrid>
      <w:tr>
        <w:tc>
          <w:tcPr/>
          <w:p>
            <w:pPr>
              <w:jc w:val="left"/>
            </w:pPr>
            <w:r>
              <w:rPr>
                <w:bCs/>
                <w:b/>
              </w:rPr>
              <w:t xml:space="preserve">Форма</w:t>
            </w:r>
          </w:p>
        </w:tc>
        <w:tc>
          <w:tcPr/>
          <w:p>
            <w:pPr>
              <w:jc w:val="left"/>
            </w:pPr>
            <w:r>
              <w:rPr>
                <w:bCs/>
                <w:b/>
              </w:rPr>
              <w:t xml:space="preserve">Атрибут</w:t>
            </w:r>
          </w:p>
        </w:tc>
        <w:tc>
          <w:tcPr/>
          <w:p>
            <w:pPr>
              <w:jc w:val="left"/>
            </w:pPr>
            <w:r>
              <w:rPr>
                <w:bCs/>
                <w:b/>
              </w:rPr>
              <w:t xml:space="preserve">Номер КС</w:t>
            </w:r>
          </w:p>
        </w:tc>
        <w:tc>
          <w:tcPr/>
          <w:p>
            <w:pPr>
              <w:jc w:val="left"/>
            </w:pPr>
            <w:r>
              <w:rPr>
                <w:bCs/>
                <w:b/>
              </w:rPr>
              <w:t xml:space="preserve">Описание КС</w:t>
            </w:r>
          </w:p>
        </w:tc>
        <w:tc>
          <w:tcPr/>
          <w:p>
            <w:pPr>
              <w:jc w:val="left"/>
            </w:pPr>
            <w:r>
              <w:rPr>
                <w:bCs/>
                <w:b/>
              </w:rPr>
              <w:t xml:space="preserve">Комментарий КС</w:t>
            </w:r>
          </w:p>
        </w:tc>
        <w:tc>
          <w:tcPr/>
          <w:p>
            <w:pPr>
              <w:jc w:val="left"/>
            </w:pPr>
            <w:r>
              <w:rPr>
                <w:bCs/>
                <w:b/>
              </w:rPr>
              <w:t xml:space="preserve">Значение слева</w:t>
            </w:r>
          </w:p>
        </w:tc>
        <w:tc>
          <w:tcPr/>
          <w:p>
            <w:pPr>
              <w:jc w:val="left"/>
            </w:pPr>
            <w:r>
              <w:rPr>
                <w:bCs/>
                <w:b/>
              </w:rPr>
              <w:t xml:space="preserve">Значение справа</w:t>
            </w:r>
          </w:p>
        </w:tc>
        <w:tc>
          <w:tcPr/>
          <w:p>
            <w:pPr>
              <w:jc w:val="left"/>
            </w:pPr>
            <w:r>
              <w:rPr>
                <w:bCs/>
                <w:b/>
              </w:rPr>
              <w:t xml:space="preserve">Отклонение</w:t>
            </w:r>
          </w:p>
        </w:tc>
        <w:tc>
          <w:tcPr/>
          <w:p>
            <w:pPr>
              <w:jc w:val="left"/>
            </w:pPr>
            <w:r>
              <w:rPr>
                <w:bCs/>
                <w:b/>
              </w:rPr>
              <w:t xml:space="preserve">Пояснение</w:t>
            </w:r>
          </w:p>
        </w:tc>
      </w:tr>
      <w:tr>
        <w:tc>
          <w:tcPr/>
          <w:p>
            <w:pPr>
              <w:jc w:val="left"/>
            </w:pPr>
            <w:r>
              <w:rPr>
                <w:bCs/>
                <w:b/>
              </w:rPr>
              <w:t xml:space="preserve">1</w:t>
            </w:r>
          </w:p>
        </w:tc>
        <w:tc>
          <w:tcPr/>
          <w:p>
            <w:pPr>
              <w:jc w:val="left"/>
            </w:pPr>
            <w:r>
              <w:rPr>
                <w:bCs/>
                <w:b/>
              </w:rPr>
              <w:t xml:space="preserve">2</w:t>
            </w:r>
          </w:p>
        </w:tc>
        <w:tc>
          <w:tcPr/>
          <w:p>
            <w:pPr>
              <w:jc w:val="left"/>
            </w:pPr>
            <w:r>
              <w:rPr>
                <w:bCs/>
                <w:b/>
              </w:rPr>
              <w:t xml:space="preserve">3</w:t>
            </w:r>
          </w:p>
        </w:tc>
        <w:tc>
          <w:tcPr/>
          <w:p>
            <w:pPr>
              <w:jc w:val="left"/>
            </w:pPr>
            <w:r>
              <w:rPr>
                <w:bCs/>
                <w:b/>
              </w:rPr>
              <w:t xml:space="preserve">4</w:t>
            </w:r>
          </w:p>
        </w:tc>
        <w:tc>
          <w:tcPr/>
          <w:p>
            <w:pPr>
              <w:jc w:val="left"/>
            </w:pPr>
            <w:r>
              <w:rPr>
                <w:bCs/>
                <w:b/>
              </w:rPr>
              <w:t xml:space="preserve">5</w:t>
            </w:r>
          </w:p>
        </w:tc>
        <w:tc>
          <w:tcPr/>
          <w:p>
            <w:pPr>
              <w:jc w:val="left"/>
            </w:pPr>
            <w:r>
              <w:rPr>
                <w:bCs/>
                <w:b/>
              </w:rPr>
              <w:t xml:space="preserve">6</w:t>
            </w:r>
          </w:p>
        </w:tc>
        <w:tc>
          <w:tcPr/>
          <w:p>
            <w:pPr>
              <w:jc w:val="left"/>
            </w:pPr>
            <w:r>
              <w:rPr>
                <w:bCs/>
                <w:b/>
              </w:rPr>
              <w:t xml:space="preserve">7</w:t>
            </w:r>
          </w:p>
        </w:tc>
        <w:tc>
          <w:tcPr/>
          <w:p>
            <w:pPr>
              <w:jc w:val="left"/>
            </w:pPr>
            <w:r>
              <w:rPr>
                <w:bCs/>
                <w:b/>
              </w:rPr>
              <w:t xml:space="preserve">8</w:t>
            </w:r>
          </w:p>
        </w:tc>
        <w:tc>
          <w:tcPr/>
          <w:p>
            <w:pPr>
              <w:jc w:val="left"/>
            </w:pPr>
            <w:r>
              <w:rPr>
                <w:bCs/>
                <w:b/>
              </w:rPr>
              <w:t xml:space="preserve">9</w:t>
            </w: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rPr>
          <w:bCs/>
          <w:b/>
        </w:rPr>
        <w:t xml:space="preserve">Информация о причинах отклонений показателей представленных форм отчетности по междокументным контрольным соотношениям, установленным в автоматизированной информационной системе Департамента финансов (в части допустимых отклонений, требующих пояснений)</w:t>
      </w:r>
    </w:p>
    <w:tbl>
      <w:tblPr>
        <w:tblStyle w:val="Table"/>
        <w:tblW w:type="auto" w:w="0"/>
        <w:tblLook w:firstRow="0" w:lastRow="0" w:firstColumn="0" w:lastColumn="0" w:noHBand="0" w:noVBand="0" w:val="0000"/>
      </w:tblPr>
      <w:tblGrid>
        <w:gridCol w:w="720"/>
        <w:gridCol w:w="720"/>
        <w:gridCol w:w="720"/>
        <w:gridCol w:w="720"/>
        <w:gridCol w:w="720"/>
        <w:gridCol w:w="720"/>
        <w:gridCol w:w="720"/>
        <w:gridCol w:w="720"/>
        <w:gridCol w:w="720"/>
        <w:gridCol w:w="720"/>
        <w:gridCol w:w="720"/>
      </w:tblGrid>
      <w:tr>
        <w:tc>
          <w:tcPr/>
          <w:p>
            <w:pPr>
              <w:jc w:val="left"/>
            </w:pPr>
            <w:r>
              <w:rPr>
                <w:bCs/>
                <w:b/>
              </w:rPr>
              <w:t xml:space="preserve">Номер КС</w:t>
            </w:r>
          </w:p>
        </w:tc>
        <w:tc>
          <w:tcPr/>
          <w:p>
            <w:pPr>
              <w:jc w:val="left"/>
            </w:pPr>
            <w:r>
              <w:rPr>
                <w:bCs/>
                <w:b/>
              </w:rPr>
              <w:t xml:space="preserve">Описание КС</w:t>
            </w:r>
          </w:p>
        </w:tc>
        <w:tc>
          <w:tcPr/>
          <w:p>
            <w:pPr>
              <w:jc w:val="left"/>
            </w:pPr>
            <w:r>
              <w:rPr>
                <w:bCs/>
                <w:b/>
              </w:rPr>
              <w:t xml:space="preserve">Комментарий КС</w:t>
            </w:r>
          </w:p>
        </w:tc>
        <w:tc>
          <w:tcPr/>
          <w:p>
            <w:pPr>
              <w:jc w:val="left"/>
            </w:pPr>
            <w:r>
              <w:rPr>
                <w:bCs/>
                <w:b/>
              </w:rPr>
              <w:t xml:space="preserve">Форма слева</w:t>
            </w:r>
          </w:p>
        </w:tc>
        <w:tc>
          <w:tcPr/>
          <w:p>
            <w:pPr>
              <w:jc w:val="left"/>
            </w:pPr>
            <w:r>
              <w:rPr>
                <w:bCs/>
                <w:b/>
              </w:rPr>
              <w:t xml:space="preserve">Атрибут</w:t>
            </w:r>
          </w:p>
        </w:tc>
        <w:tc>
          <w:tcPr/>
          <w:p>
            <w:pPr>
              <w:jc w:val="left"/>
            </w:pPr>
            <w:r>
              <w:rPr>
                <w:bCs/>
                <w:b/>
              </w:rPr>
              <w:t xml:space="preserve">Значение</w:t>
            </w:r>
          </w:p>
        </w:tc>
        <w:tc>
          <w:tcPr/>
          <w:p>
            <w:pPr>
              <w:jc w:val="left"/>
            </w:pPr>
            <w:r>
              <w:rPr>
                <w:bCs/>
                <w:b/>
              </w:rPr>
              <w:t xml:space="preserve">Форма справа</w:t>
            </w:r>
          </w:p>
        </w:tc>
        <w:tc>
          <w:tcPr/>
          <w:p>
            <w:pPr>
              <w:jc w:val="left"/>
            </w:pPr>
            <w:r>
              <w:rPr>
                <w:bCs/>
                <w:b/>
              </w:rPr>
              <w:t xml:space="preserve">Атрибут</w:t>
            </w:r>
          </w:p>
        </w:tc>
        <w:tc>
          <w:tcPr/>
          <w:p>
            <w:pPr>
              <w:jc w:val="left"/>
            </w:pPr>
            <w:r>
              <w:rPr>
                <w:bCs/>
                <w:b/>
              </w:rPr>
              <w:t xml:space="preserve">Значение</w:t>
            </w:r>
          </w:p>
        </w:tc>
        <w:tc>
          <w:tcPr/>
          <w:p>
            <w:pPr>
              <w:jc w:val="left"/>
            </w:pPr>
            <w:r>
              <w:rPr>
                <w:bCs/>
                <w:b/>
              </w:rPr>
              <w:t xml:space="preserve">Отклонение</w:t>
            </w:r>
          </w:p>
        </w:tc>
        <w:tc>
          <w:tcPr/>
          <w:p>
            <w:pPr>
              <w:jc w:val="left"/>
            </w:pPr>
            <w:r>
              <w:rPr>
                <w:bCs/>
                <w:b/>
              </w:rPr>
              <w:t xml:space="preserve">Пояснение</w:t>
            </w:r>
          </w:p>
        </w:tc>
      </w:tr>
      <w:tr>
        <w:tc>
          <w:tcPr/>
          <w:p>
            <w:pPr>
              <w:jc w:val="left"/>
            </w:pPr>
            <w:r>
              <w:rPr>
                <w:bCs/>
                <w:b/>
              </w:rPr>
              <w:t xml:space="preserve">1</w:t>
            </w:r>
          </w:p>
        </w:tc>
        <w:tc>
          <w:tcPr/>
          <w:p>
            <w:pPr>
              <w:jc w:val="left"/>
            </w:pPr>
            <w:r>
              <w:rPr>
                <w:bCs/>
                <w:b/>
              </w:rPr>
              <w:t xml:space="preserve">2</w:t>
            </w:r>
          </w:p>
        </w:tc>
        <w:tc>
          <w:tcPr/>
          <w:p>
            <w:pPr>
              <w:jc w:val="left"/>
            </w:pPr>
            <w:r>
              <w:rPr>
                <w:bCs/>
                <w:b/>
              </w:rPr>
              <w:t xml:space="preserve">3</w:t>
            </w:r>
          </w:p>
        </w:tc>
        <w:tc>
          <w:tcPr/>
          <w:p>
            <w:pPr>
              <w:jc w:val="left"/>
            </w:pPr>
            <w:r>
              <w:rPr>
                <w:bCs/>
                <w:b/>
              </w:rPr>
              <w:t xml:space="preserve">4</w:t>
            </w:r>
          </w:p>
        </w:tc>
        <w:tc>
          <w:tcPr/>
          <w:p>
            <w:pPr>
              <w:jc w:val="left"/>
            </w:pPr>
            <w:r>
              <w:rPr>
                <w:bCs/>
                <w:b/>
              </w:rPr>
              <w:t xml:space="preserve">5</w:t>
            </w:r>
          </w:p>
        </w:tc>
        <w:tc>
          <w:tcPr/>
          <w:p>
            <w:pPr>
              <w:jc w:val="left"/>
            </w:pPr>
            <w:r>
              <w:rPr>
                <w:bCs/>
                <w:b/>
              </w:rPr>
              <w:t xml:space="preserve">6</w:t>
            </w:r>
          </w:p>
        </w:tc>
        <w:tc>
          <w:tcPr/>
          <w:p>
            <w:pPr>
              <w:jc w:val="left"/>
            </w:pPr>
            <w:r>
              <w:rPr>
                <w:bCs/>
                <w:b/>
              </w:rPr>
              <w:t xml:space="preserve">7</w:t>
            </w:r>
          </w:p>
        </w:tc>
        <w:tc>
          <w:tcPr/>
          <w:p>
            <w:pPr>
              <w:jc w:val="left"/>
            </w:pPr>
            <w:r>
              <w:rPr>
                <w:bCs/>
                <w:b/>
              </w:rPr>
              <w:t xml:space="preserve">8</w:t>
            </w:r>
          </w:p>
        </w:tc>
        <w:tc>
          <w:tcPr/>
          <w:p>
            <w:pPr>
              <w:jc w:val="left"/>
            </w:pPr>
            <w:r>
              <w:rPr>
                <w:bCs/>
                <w:b/>
              </w:rPr>
              <w:t xml:space="preserve">9</w:t>
            </w:r>
          </w:p>
        </w:tc>
        <w:tc>
          <w:tcPr/>
          <w:p>
            <w:pPr>
              <w:jc w:val="left"/>
            </w:pPr>
            <w:r>
              <w:rPr>
                <w:bCs/>
                <w:b/>
              </w:rPr>
              <w:t xml:space="preserve">10</w:t>
            </w:r>
          </w:p>
        </w:tc>
        <w:tc>
          <w:tcPr/>
          <w:p>
            <w:pPr>
              <w:jc w:val="left"/>
            </w:pPr>
            <w:r>
              <w:rPr>
                <w:bCs/>
                <w:b/>
              </w:rPr>
              <w:t xml:space="preserve">11</w:t>
            </w: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tbl>
      <w:tblPr>
        <w:tblStyle w:val="Table"/>
        <w:tblW w:type="auto" w:w="0"/>
        <w:tblLook w:firstRow="0" w:lastRow="0" w:firstColumn="0" w:lastColumn="0" w:noHBand="0" w:noVBand="0" w:val="0000"/>
      </w:tblPr>
      <w:tblGrid>
        <w:gridCol w:w="2640"/>
        <w:gridCol w:w="2640"/>
        <w:gridCol w:w="2640"/>
      </w:tblGrid>
      <w:tr>
        <w:tc>
          <w:tcPr/>
          <w:p>
            <w:pPr>
              <w:jc w:val="left"/>
            </w:pPr>
            <w:r>
              <w:t xml:space="preserve">Руководитель</w:t>
            </w:r>
          </w:p>
        </w:tc>
        <w:tc>
          <w:tcPr/>
          <w:p>
            <w:pPr>
              <w:pStyle w:val="Compact"/>
            </w:pPr>
          </w:p>
        </w:tc>
        <w:tc>
          <w:tcPr/>
          <w:p>
            <w:pPr>
              <w:jc w:val="left"/>
            </w:pPr>
            <w:r>
              <w:t xml:space="preserve">Орлова Светлана Анатольевна</w:t>
            </w:r>
          </w:p>
        </w:tc>
      </w:tr>
      <w:tr>
        <w:tc>
          <w:tcPr/>
          <w:p>
            <w:pPr>
              <w:pStyle w:val="Compact"/>
            </w:pPr>
          </w:p>
        </w:tc>
        <w:tc>
          <w:tcPr/>
          <w:p>
            <w:pPr>
              <w:jc w:val="left"/>
            </w:pPr>
            <w:r>
              <w:t xml:space="preserve">(подпись)</w:t>
            </w:r>
          </w:p>
        </w:tc>
        <w:tc>
          <w:tcPr/>
          <w:p>
            <w:pPr>
              <w:jc w:val="left"/>
            </w:pPr>
            <w:r>
              <w:t xml:space="preserve">(расшифровка подписи)</w:t>
            </w:r>
          </w:p>
        </w:tc>
      </w:tr>
      <w:tr>
        <w:tc>
          <w:tcPr>
            <w:gridSpan w:val="3"/>
          </w:tcPr>
          <w:p>
            <w:pPr>
              <w:pStyle w:val="Compact"/>
            </w:pPr>
          </w:p>
        </w:tc>
      </w:tr>
      <w:tr>
        <w:tc>
          <w:tcPr/>
          <w:p>
            <w:pPr>
              <w:jc w:val="left"/>
            </w:pPr>
            <w:r>
              <w:t xml:space="preserve">Руководитель планово-</w:t>
            </w:r>
          </w:p>
        </w:tc>
        <w:tc>
          <w:tcPr/>
          <w:p>
            <w:pPr>
              <w:pStyle w:val="Compact"/>
            </w:pPr>
          </w:p>
        </w:tc>
        <w:tc>
          <w:tcPr/>
          <w:p>
            <w:pPr>
              <w:jc w:val="left"/>
            </w:pPr>
            <w:r>
              <w:t xml:space="preserve">Козина Оксана Ивановна</w:t>
            </w:r>
          </w:p>
        </w:tc>
      </w:tr>
      <w:tr>
        <w:tc>
          <w:tcPr/>
          <w:p>
            <w:pPr>
              <w:jc w:val="left"/>
            </w:pPr>
            <w:r>
              <w:t xml:space="preserve">экономической службы</w:t>
            </w:r>
          </w:p>
        </w:tc>
        <w:tc>
          <w:tcPr/>
          <w:p>
            <w:pPr>
              <w:jc w:val="left"/>
            </w:pPr>
            <w:r>
              <w:t xml:space="preserve">(подпись)</w:t>
            </w:r>
          </w:p>
        </w:tc>
        <w:tc>
          <w:tcPr/>
          <w:p>
            <w:pPr>
              <w:jc w:val="left"/>
            </w:pPr>
            <w:r>
              <w:t xml:space="preserve">(расшифровка подписи)</w:t>
            </w:r>
          </w:p>
        </w:tc>
      </w:tr>
      <w:tr>
        <w:tc>
          <w:tcPr>
            <w:gridSpan w:val="3"/>
          </w:tcPr>
          <w:p>
            <w:pPr>
              <w:pStyle w:val="Compact"/>
            </w:pPr>
          </w:p>
        </w:tc>
      </w:tr>
      <w:tr>
        <w:tc>
          <w:tcPr/>
          <w:p>
            <w:pPr>
              <w:jc w:val="left"/>
            </w:pPr>
            <w:r>
              <w:t xml:space="preserve">Главный</w:t>
            </w:r>
          </w:p>
        </w:tc>
        <w:tc>
          <w:tcPr/>
          <w:p>
            <w:pPr>
              <w:pStyle w:val="Compact"/>
            </w:pPr>
          </w:p>
        </w:tc>
        <w:tc>
          <w:tcPr/>
          <w:p>
            <w:pPr>
              <w:jc w:val="left"/>
            </w:pPr>
            <w:r>
              <w:t xml:space="preserve">Васильева Ольга Александровна</w:t>
            </w:r>
          </w:p>
        </w:tc>
      </w:tr>
      <w:tr>
        <w:tc>
          <w:tcPr/>
          <w:p>
            <w:pPr>
              <w:jc w:val="left"/>
            </w:pPr>
            <w:r>
              <w:t xml:space="preserve">бухгалтер</w:t>
            </w:r>
          </w:p>
        </w:tc>
        <w:tc>
          <w:tcPr/>
          <w:p>
            <w:pPr>
              <w:jc w:val="left"/>
            </w:pPr>
            <w:r>
              <w:t xml:space="preserve">(подпись)</w:t>
            </w:r>
          </w:p>
        </w:tc>
        <w:tc>
          <w:tcPr/>
          <w:p>
            <w:pPr>
              <w:jc w:val="left"/>
            </w:pPr>
            <w:r>
              <w:t xml:space="preserve">(расшифровка подписи)</w:t>
            </w:r>
          </w:p>
        </w:tc>
      </w:tr>
    </w:tbl>
    <w:p>
      <w:pPr>
        <w:pStyle w:val="BodyText"/>
      </w:pPr>
      <w:bookmarkStart w:id="20" w:name="X472cf3ef901f6faed7b0ee9ea22641dec5e91ec"/>
      <w:bookmarkEnd w:id="20"/>
    </w:p>
    <w:p>
      <w:pPr>
        <w:pStyle w:val="BodyText"/>
      </w:pPr>
      <w:bookmarkStart w:id="21" w:name="Xe3acfc2d299fecaa09c1d43c58b036129b007b6"/>
      <w:bookmarkEnd w:id="21"/>
    </w:p>
    <w:p>
      <w:pPr>
        <w:pStyle w:val="BodyText"/>
      </w:pPr>
      <w:r>
        <w:br/>
      </w:r>
    </w:p>
    <w:p>
      <w:pPr>
        <w:pStyle w:val="BodyText"/>
      </w:pPr>
      <w:r>
        <w:t xml:space="preserve">Адрес страницы:</w:t>
      </w:r>
      <w:r>
        <w:t xml:space="preserve"> </w:t>
      </w:r>
      <w:hyperlink r:id="rId22">
        <w:r>
          <w:rPr>
            <w:rStyle w:val="Hyperlink"/>
          </w:rPr>
          <w:t xml:space="preserve">http://krasnoselsky.mos.ru/uprava/reports/detail/10149771.html</w:t>
        </w:r>
      </w:hyperlink>
    </w:p>
    <w:p>
      <w:pPr>
        <w:pStyle w:val="BodyText"/>
      </w:pPr>
      <w:hyperlink r:id="rId23">
        <w:r>
          <w:rPr>
            <w:rStyle w:val="Hyperlink"/>
          </w:rPr>
          <w:t xml:space="preserve">Управа Красносельского района города Москвы</w:t>
        </w:r>
      </w:hyperlink>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krasnoselsky.mos.ru" TargetMode="External" /><Relationship Type="http://schemas.openxmlformats.org/officeDocument/2006/relationships/hyperlink" Id="rId22" Target="http://krasnoselsky.mos.ru/uprava/reports/detail/10149771.html" TargetMode="External" /></Relationships>
</file>

<file path=word/_rels/footnotes.xml.rels><?xml version="1.0" encoding="UTF-8"?><Relationships xmlns="http://schemas.openxmlformats.org/package/2006/relationships"><Relationship Type="http://schemas.openxmlformats.org/officeDocument/2006/relationships/hyperlink" Id="rId23" Target="http://krasnoselsky.mos.ru" TargetMode="External" /><Relationship Type="http://schemas.openxmlformats.org/officeDocument/2006/relationships/hyperlink" Id="rId22" Target="http://krasnoselsky.mos.ru/uprava/reports/detail/1014977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2025-08-04T05:38:58Z</dcterms:created>
  <dcterms:modified xsi:type="dcterms:W3CDTF">2025-08-04T05:38:58Z</dcterms:modified>
</cp:coreProperties>
</file>

<file path=docProps/custom.xml><?xml version="1.0" encoding="utf-8"?>
<Properties xmlns="http://schemas.openxmlformats.org/officeDocument/2006/custom-properties" xmlns:vt="http://schemas.openxmlformats.org/officeDocument/2006/docPropsVTypes"/>
</file>