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8cd6e32324c830080a9dd0ff7dda9a9b072c86"/>
    <w:p>
      <w:pPr>
        <w:pStyle w:val="Heading3"/>
      </w:pPr>
      <w:r>
        <w:t xml:space="preserve">Пояснительная записка на 01 января 2021г.</w:t>
      </w:r>
    </w:p>
    <w:p>
      <w:pPr>
        <w:pStyle w:val="FirstParagraph"/>
      </w:pPr>
      <w:r>
        <w:t xml:space="preserve">09.07.2021</w:t>
      </w:r>
    </w:p>
    <w:tbl>
      <w:tblPr>
        <w:tblStyle w:val="Table"/>
        <w:tblW w:type="pct" w:w="5000"/>
        <w:tblLook w:firstRow="0" w:lastRow="0" w:firstColumn="0" w:lastColumn="0" w:noHBand="0" w:noVBand="0" w:val="0000"/>
      </w:tblPr>
      <w:tblGrid>
        <w:gridCol w:w="1584"/>
        <w:gridCol w:w="1584"/>
        <w:gridCol w:w="1584"/>
        <w:gridCol w:w="1584"/>
        <w:gridCol w:w="1584"/>
      </w:tblGrid>
      <w:tr>
        <w:tc>
          <w:tcPr/>
          <w:p>
            <w:pPr>
              <w:pStyle w:val="Compact"/>
            </w:pPr>
          </w:p>
        </w:tc>
        <w:tc>
          <w:tcPr/>
          <w:p>
            <w:pPr>
              <w:pStyle w:val="Compact"/>
            </w:pPr>
          </w:p>
        </w:tc>
        <w:tc>
          <w:tcPr/>
          <w:p>
            <w:pPr>
              <w:jc w:val="left"/>
            </w:pPr>
            <w:r>
              <w:t xml:space="preserve">ПОЯСНИТЕЛЬНАЯ ЗАПИСКА</w:t>
            </w: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jc w:val="left"/>
            </w:pPr>
            <w:r>
              <w:t xml:space="preserve">КОДЫ</w:t>
            </w:r>
          </w:p>
        </w:tc>
      </w:tr>
      <w:tr>
        <w:tc>
          <w:tcPr/>
          <w:p>
            <w:pPr>
              <w:pStyle w:val="Compact"/>
            </w:pPr>
          </w:p>
        </w:tc>
        <w:tc>
          <w:tcPr>
            <w:vMerge w:val="restart"/>
          </w:tcPr>
          <w:p>
            <w:pPr>
              <w:pStyle w:val="Compact"/>
            </w:pPr>
          </w:p>
        </w:tc>
        <w:tc>
          <w:tcPr>
            <w:vMerge w:val="restart"/>
          </w:tcPr>
          <w:p>
            <w:pPr>
              <w:jc w:val="left"/>
            </w:pPr>
            <w:r>
              <w:t xml:space="preserve">на 1 января 2021 года</w:t>
            </w:r>
          </w:p>
        </w:tc>
        <w:tc>
          <w:tcPr>
            <w:vMerge w:val="restart"/>
          </w:tcPr>
          <w:p>
            <w:pPr>
              <w:jc w:val="left"/>
            </w:pPr>
            <w:r>
              <w:t xml:space="preserve">Форма по ОКУД</w:t>
            </w:r>
          </w:p>
        </w:tc>
        <w:tc>
          <w:tcPr>
            <w:vMerge w:val="restart"/>
          </w:tcPr>
          <w:p>
            <w:pPr>
              <w:jc w:val="left"/>
            </w:pPr>
            <w:r>
              <w:t xml:space="preserve">0503160</w:t>
            </w:r>
          </w:p>
        </w:tc>
      </w:tr>
      <w:tr>
        <w:tc>
          <w:tcPr/>
          <w:p>
            <w:pPr>
              <w:pStyle w:val="Compact"/>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r>
      <w:tr>
        <w:tc>
          <w:tcPr/>
          <w:p>
            <w:pPr>
              <w:pStyle w:val="Compact"/>
            </w:pPr>
          </w:p>
        </w:tc>
        <w:tc>
          <w:tcPr/>
          <w:p>
            <w:pPr>
              <w:pStyle w:val="Compact"/>
            </w:pPr>
          </w:p>
        </w:tc>
        <w:tc>
          <w:tcPr/>
          <w:p>
            <w:pPr>
              <w:pStyle w:val="Compact"/>
            </w:pPr>
          </w:p>
        </w:tc>
        <w:tc>
          <w:tcPr/>
          <w:p>
            <w:pPr>
              <w:jc w:val="left"/>
            </w:pPr>
            <w:r>
              <w:t xml:space="preserve">Дата</w:t>
            </w:r>
          </w:p>
        </w:tc>
        <w:tc>
          <w:tcPr/>
          <w:p>
            <w:pPr>
              <w:jc w:val="left"/>
            </w:pPr>
            <w:r>
              <w:t xml:space="preserve">01.01.2021</w:t>
            </w:r>
          </w:p>
        </w:tc>
      </w:tr>
      <w:tr>
        <w:tc>
          <w:tcPr>
            <w:gridSpan w:val="2"/>
            <w:vMerge w:val="restart"/>
          </w:tcPr>
          <w:p>
            <w:pPr>
              <w:jc w:val="left"/>
            </w:pPr>
            <w:r>
              <w:t xml:space="preserve">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w:t>
            </w:r>
          </w:p>
        </w:tc>
        <w:tc>
          <w:tcPr/>
          <w:p>
            <w:pPr>
              <w:pStyle w:val="Compact"/>
            </w:pPr>
          </w:p>
        </w:tc>
        <w:tc>
          <w:tcPr>
            <w:vMerge w:val="restart"/>
          </w:tcPr>
          <w:p>
            <w:pPr>
              <w:jc w:val="left"/>
            </w:pPr>
            <w:r>
              <w:t xml:space="preserve">по ОКПО</w:t>
            </w:r>
          </w:p>
        </w:tc>
        <w:tc>
          <w:tcPr>
            <w:vMerge w:val="restart"/>
          </w:tcPr>
          <w:p>
            <w:pPr>
              <w:jc w:val="left"/>
            </w:pPr>
            <w:r>
              <w:br/>
            </w:r>
            <w:r>
              <w:t xml:space="preserve">13554549</w:t>
            </w: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jc w:val="left"/>
            </w:pPr>
            <w:r>
              <w:t xml:space="preserve">управа Красносельского района города Москвы</w:t>
            </w:r>
          </w:p>
        </w:tc>
        <w:tc>
          <w:tcPr/>
          <w:p>
            <w:pPr>
              <w:jc w:val="left"/>
            </w:pPr>
            <w:r>
              <w:t xml:space="preserve">Глава по БК</w:t>
            </w:r>
          </w:p>
        </w:tc>
        <w:tc>
          <w:tcPr/>
          <w:p>
            <w:pPr>
              <w:jc w:val="left"/>
            </w:pPr>
            <w:r>
              <w:t xml:space="preserve">961</w:t>
            </w:r>
          </w:p>
        </w:tc>
      </w:tr>
      <w:tr>
        <w:tc>
          <w:tcPr>
            <w:gridSpan w:val="2"/>
          </w:tcPr>
          <w:p>
            <w:pPr>
              <w:jc w:val="left"/>
            </w:pPr>
            <w:r>
              <w:t xml:space="preserve">Наименование бюджета (публично-правового образования)</w:t>
            </w:r>
          </w:p>
        </w:tc>
        <w:tc>
          <w:tcPr/>
          <w:p>
            <w:pPr>
              <w:jc w:val="left"/>
            </w:pPr>
            <w:r>
              <w:rPr>
                <w:bCs/>
                <w:b/>
              </w:rPr>
              <w:t xml:space="preserve">Бюджет города Москвы</w:t>
            </w:r>
          </w:p>
        </w:tc>
        <w:tc>
          <w:tcPr>
            <w:vMerge w:val="restart"/>
          </w:tcPr>
          <w:p>
            <w:pPr>
              <w:jc w:val="left"/>
            </w:pPr>
            <w:r>
              <w:t xml:space="preserve">по ОКТМО</w:t>
            </w:r>
          </w:p>
        </w:tc>
        <w:tc>
          <w:tcPr>
            <w:vMerge w:val="restart"/>
          </w:tcPr>
          <w:p>
            <w:pPr>
              <w:jc w:val="left"/>
            </w:pPr>
            <w:r>
              <w:t xml:space="preserve">45378000</w:t>
            </w:r>
          </w:p>
        </w:tc>
      </w:tr>
      <w:tr>
        <w:tc>
          <w:tcPr/>
          <w:p>
            <w:pPr>
              <w:pStyle w:val="Compact"/>
            </w:pPr>
          </w:p>
        </w:tc>
        <w:tc>
          <w:tcPr/>
          <w:p>
            <w:pPr>
              <w:pStyle w:val="Compact"/>
            </w:pPr>
          </w:p>
        </w:tc>
        <w:tc>
          <w:tcPr/>
          <w:p>
            <w:pPr>
              <w:pStyle w:val="Compact"/>
            </w:pPr>
          </w:p>
        </w:tc>
        <w:tc>
          <w:tcPr>
            <w:gridSpan w:val="1"/>
            <w:vMerge w:val="continue"/>
          </w:tcPr>
          <w:p>
            <w:pPr/>
          </w:p>
        </w:tc>
        <w:tc>
          <w:tcPr>
            <w:gridSpan w:val="1"/>
            <w:vMerge w:val="continue"/>
          </w:tcPr>
          <w:p>
            <w:pPr/>
          </w:p>
        </w:tc>
      </w:tr>
      <w:tr>
        <w:tc>
          <w:tcPr/>
          <w:p>
            <w:pPr>
              <w:jc w:val="left"/>
            </w:pPr>
            <w:r>
              <w:t xml:space="preserve">Периодичность:</w:t>
            </w:r>
          </w:p>
        </w:tc>
        <w:tc>
          <w:tcPr>
            <w:gridSpan w:val="2"/>
          </w:tcPr>
          <w:p>
            <w:pPr>
              <w:jc w:val="left"/>
            </w:pPr>
            <w:r>
              <w:t xml:space="preserve">годовая</w:t>
            </w:r>
          </w:p>
        </w:tc>
        <w:tc>
          <w:tcPr/>
          <w:p>
            <w:pPr>
              <w:pStyle w:val="Compact"/>
            </w:pPr>
          </w:p>
        </w:tc>
        <w:tc>
          <w:tcPr/>
          <w:p>
            <w:pPr>
              <w:pStyle w:val="Compact"/>
            </w:pPr>
          </w:p>
        </w:tc>
      </w:tr>
      <w:tr>
        <w:tc>
          <w:tcPr>
            <w:gridSpan w:val="3"/>
          </w:tcPr>
          <w:p>
            <w:pPr>
              <w:jc w:val="left"/>
            </w:pPr>
            <w:r>
              <w:t xml:space="preserve">Единица измерения: руб.</w:t>
            </w:r>
          </w:p>
        </w:tc>
        <w:tc>
          <w:tcPr/>
          <w:p>
            <w:pPr>
              <w:jc w:val="left"/>
            </w:pPr>
            <w:r>
              <w:t xml:space="preserve">по ОКЕИ</w:t>
            </w:r>
          </w:p>
        </w:tc>
        <w:tc>
          <w:tcPr/>
          <w:p>
            <w:pPr>
              <w:jc w:val="left"/>
            </w:pPr>
            <w:r>
              <w:t xml:space="preserve">383</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gridSpan w:val="3"/>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gridSpan w:val="3"/>
          </w:tcPr>
          <w:p>
            <w:pPr>
              <w:pStyle w:val="Compact"/>
            </w:pPr>
          </w:p>
        </w:tc>
      </w:tr>
    </w:tbl>
    <w:p>
      <w:pPr>
        <w:pStyle w:val="BodyText"/>
      </w:pPr>
      <w:r>
        <w:rPr>
          <w:bCs/>
          <w:b/>
        </w:rPr>
        <w:t xml:space="preserve">Раздел 1 «Организационная структура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месте нахождения и организационно-правовой форме субъекта отчетности</w:t>
            </w:r>
          </w:p>
        </w:tc>
      </w:tr>
      <w:tr>
        <w:tc>
          <w:tcPr/>
          <w:p>
            <w:pPr>
              <w:jc w:val="left"/>
            </w:pPr>
            <w:r>
              <w:t xml:space="preserve">Полное наименование: Управа Красносельского района города Москвы" зарегистрирована 18 декабря 2002 года по адресу 107140, МОСКВА Г, КРАСНОСЕЛЬСКАЯ НИЖН. УЛ, ДОМ 5, СТРОЕНИЕ 7. Основным видом деятельности является (ОКОПФ-20904;ОКВЭД-О84.11.22) - Деятельность органов государственной власти субъектов Российской Федерации по осуществлению своих полномочий в городах и районах. Управу возглавляет Глава Орлова СВЕТЛАНА АНАТОЛЬЕВНА.</w:t>
            </w:r>
          </w:p>
        </w:tc>
      </w:tr>
      <w:tr>
        <w:tc>
          <w:tcPr/>
          <w:p>
            <w:pPr>
              <w:pStyle w:val="Compact"/>
            </w:pPr>
          </w:p>
        </w:tc>
      </w:tr>
      <w:tr>
        <w:tc>
          <w:tcPr/>
          <w:p>
            <w:pPr>
              <w:jc w:val="left"/>
            </w:pPr>
            <w:r>
              <w:rPr>
                <w:bCs/>
                <w:b/>
              </w:rPr>
              <w:t xml:space="preserve">Сведения об изменениях наименования субъекта за отчетный период, если такие изменения производились</w:t>
            </w:r>
          </w:p>
        </w:tc>
      </w:tr>
      <w:tr>
        <w:tc>
          <w:tcPr/>
          <w:p>
            <w:pPr>
              <w:jc w:val="left"/>
            </w:pPr>
            <w:r>
              <w:t xml:space="preserve">Изменения наименования за отчетный период не проводились.</w:t>
            </w:r>
          </w:p>
        </w:tc>
      </w:tr>
      <w:tr>
        <w:tc>
          <w:tcPr/>
          <w:p>
            <w:pPr>
              <w:pStyle w:val="Compact"/>
            </w:pPr>
          </w:p>
        </w:tc>
      </w:tr>
      <w:tr>
        <w:tc>
          <w:tcPr/>
          <w:p>
            <w:pPr>
              <w:jc w:val="left"/>
            </w:pPr>
            <w:r>
              <w:rPr>
                <w:bCs/>
                <w:b/>
              </w:rPr>
              <w:t xml:space="preserve">Перечень основных нормативных правовых актов, регламентирующих деятельность субъекта отчетности</w:t>
            </w:r>
          </w:p>
        </w:tc>
      </w:tr>
      <w:tr>
        <w:tc>
          <w:tcPr/>
          <w:p>
            <w:pPr>
              <w:jc w:val="left"/>
            </w:pPr>
            <w:r>
              <w:t xml:space="preserve">В своей деятельности управа руководствуется Конституцией Российской Федерации, федеральными законами и иными нормативными правовыми актами Российской Федерации, Бюджетный кодекс РФ, который действует на всей территории РФ и устанавливает общие принципы бюджетного законодательства РФ, определяет группировку доходов и расходов, а также источников финансирования дефицита бюджетов бюджетной системы России; Федеральный закон «О бухгалтерском учете» от 06.12. 2011 № 402-ФЗ (ред. от 26.07.2019 г. , который определяет полномочия по ведению бухгалтерского (бюджетного) учета и устанавливает единые требования к ведению бухгалтерского учета; Уставом города Москвы, законами города Москвы и иными правовыми актами города Москвы, а также Положением, утвержденным Постановлением Правительства Москвы от 24 февраля 2010 года № 157-ПП «О полномочиях территориальных органов исполнительной власти города Москвы».Налоговый кодекс Российской Федерации (части первая от 31июля 1998 г. N 146-ФЗ и вторая от 5 августа 2000 г. N 117-ФЗ) споследующими дополнениями и изменениями. Приказ Министерства финансов Российской Федерации от 6декабря 2010 г. N 162н "Об утверждении Плана счетовбюджетного учета и Инструкции по его применению". Приказ Министерства финансов Российской Федерации от 1июля 2013 г. N 65н "Об утверждении Указаний о порядкеприменения бюджетной классификации Российской Федерации"</w:t>
            </w:r>
          </w:p>
        </w:tc>
      </w:tr>
      <w:tr>
        <w:tc>
          <w:tcPr/>
          <w:p>
            <w:pPr>
              <w:pStyle w:val="Compact"/>
            </w:pPr>
          </w:p>
        </w:tc>
      </w:tr>
      <w:tr>
        <w:tc>
          <w:tcPr/>
          <w:p>
            <w:pPr>
              <w:jc w:val="left"/>
            </w:pPr>
            <w:r>
              <w:rPr>
                <w:bCs/>
                <w:b/>
              </w:rPr>
              <w:t xml:space="preserve">Наименование учредителя субъекта отчетности (для подведомственных получателей бюджетных средств)</w:t>
            </w:r>
          </w:p>
        </w:tc>
      </w:tr>
      <w:tr>
        <w:tc>
          <w:tcPr/>
          <w:p>
            <w:pPr>
              <w:jc w:val="left"/>
            </w:pPr>
            <w:r>
              <w:t xml:space="preserve">Учредителем управы Красносельского района города Москвы является Правительство Москвы. Координацию и контроль за деятельностью управы района осуществляет префект Центрального административного округа города Москвы (далее - административный округ) в пределах полномочий, установленных правовыми актами города Москвы</w:t>
            </w:r>
          </w:p>
        </w:tc>
      </w:tr>
      <w:tr>
        <w:tc>
          <w:tcPr/>
          <w:p>
            <w:pPr>
              <w:pStyle w:val="Compact"/>
            </w:pPr>
          </w:p>
        </w:tc>
      </w:tr>
      <w:tr>
        <w:tc>
          <w:tcPr/>
          <w:p>
            <w:pPr>
              <w:jc w:val="left"/>
            </w:pPr>
            <w:r>
              <w:rPr>
                <w:bCs/>
                <w:b/>
              </w:rPr>
              <w:t xml:space="preserve">Наименование органа, осуществляющего внешний государственный (муниципальный) финансовый контроль</w:t>
            </w:r>
          </w:p>
        </w:tc>
      </w:tr>
      <w:tr>
        <w:tc>
          <w:tcPr/>
          <w:p>
            <w:pPr>
              <w:jc w:val="left"/>
            </w:pPr>
            <w:r>
              <w:t xml:space="preserve">Внешний государственный (муниципальный) финансовый контроль осуществляет Контрольно-счетная палата Москвы</w:t>
            </w:r>
          </w:p>
        </w:tc>
      </w:tr>
      <w:tr>
        <w:tc>
          <w:tcPr/>
          <w:p>
            <w:pPr>
              <w:pStyle w:val="Compact"/>
            </w:pPr>
          </w:p>
        </w:tc>
      </w:tr>
      <w:tr>
        <w:tc>
          <w:tcPr/>
          <w:p>
            <w:pPr>
              <w:jc w:val="left"/>
            </w:pPr>
            <w:r>
              <w:rPr>
                <w:bCs/>
                <w:b/>
              </w:rPr>
              <w:t xml:space="preserve">Информация о субъектах отчетности, созданных на определенный срок, с указанием сроков их деятельности</w:t>
            </w:r>
          </w:p>
        </w:tc>
      </w:tr>
      <w:tr>
        <w:tc>
          <w:tcPr/>
          <w:p>
            <w:pPr>
              <w:pStyle w:val="Compact"/>
            </w:pPr>
          </w:p>
        </w:tc>
      </w:tr>
      <w:tr>
        <w:tc>
          <w:tcPr/>
          <w:p>
            <w:pPr>
              <w:pStyle w:val="Compact"/>
            </w:pPr>
          </w:p>
        </w:tc>
      </w:tr>
      <w:tr>
        <w:tc>
          <w:tcPr/>
          <w:p>
            <w:pPr>
              <w:jc w:val="left"/>
            </w:pPr>
            <w:r>
              <w:rPr>
                <w:bCs/>
                <w:b/>
              </w:rPr>
              <w:t xml:space="preserve">Сведения об основных направлениях деятельности</w:t>
            </w:r>
          </w:p>
        </w:tc>
      </w:tr>
      <w:tr>
        <w:tc>
          <w:tcPr/>
          <w:p>
            <w:pPr>
              <w:jc w:val="left"/>
            </w:pPr>
            <w:r>
              <w:t xml:space="preserve">Управа представляет интересы Правительства Москвы, обеспечивает в пределах своих полномочий и под свою ответственность решение вопросов местного (районного) значения, осуществляет руководство хозяйственными и социальными службами района, являющимися структурными подразделениями администрации района. Деятельность управы Красносельского района направлена на удовлетворение потребностей населения в социально-культурных, коммунально-бытовых и других жизненно важных областях жизни.Управа обеспечивает повышение эффективности местного хозяйства, решение социально-культурных, экологических задач, а также рациональное использование трудовых, природных и других местных ресурсов, создание необходимых условий жизни и отдыха населения</w:t>
            </w:r>
          </w:p>
        </w:tc>
      </w:tr>
      <w:tr>
        <w:tc>
          <w:tcPr/>
          <w:p>
            <w:pPr>
              <w:pStyle w:val="Compact"/>
            </w:pPr>
          </w:p>
        </w:tc>
      </w:tr>
      <w:tr>
        <w:tc>
          <w:tcPr/>
          <w:p>
            <w:pPr>
              <w:jc w:val="left"/>
            </w:pPr>
            <w:r>
              <w:rPr>
                <w:bCs/>
                <w:b/>
              </w:rPr>
              <w:t xml:space="preserve">Иная информация о деятельности субъекта отчетности, существенная для понимания пользователями отчетности финансового положения, финансовых результатах деятельности и движении денежных средств</w:t>
            </w:r>
          </w:p>
        </w:tc>
      </w:tr>
      <w:tr>
        <w:tc>
          <w:tcPr/>
          <w:p>
            <w:pPr>
              <w:jc w:val="left"/>
            </w:pPr>
            <w:r>
              <w:t xml:space="preserve">Управа района осуществляет свою деятельность во взаимодействии с федеральными органами власти, органами государственной власти города Москвы, органами местного самоуправления, общественными объединениями и гражданами.Учреждение является юридическим лицом, самостоятельно ведет финансово-хозяйственную деятельность, имеетсамостоятельный баланс и лицевой счет, обладает обособленным имуществом, закрепленным на праве оперативного управления.Учреждение является получателем бюджетных средств, финансируется за счет средств городского бюджета. Код главы главного распорядителя бюджетных средств 961. В отделении N 21 УФК по г. Москве управе открыты номера лицевых счетов : 0396112000451533 – получателя бюджетных средств; 02196132000451533 – для учета операций со средствами, поступающими во временное распоряжение получателя бюджетных средств; 04732961020-лицевой счет администратора доходов.Управа вправе от своего имени заключать договоры, приобретать и осуществлять имущественные и личные неимущественные права, нести ответственность, быть истцом и ответчиком в суде, арбитражном суде. Управа не имеет права предоставлять и получать кредиты (займы), приобретать ценные бумаги. Субсидии и бюджетные кредиты управе не предоставляются.</w:t>
            </w:r>
          </w:p>
        </w:tc>
      </w:tr>
      <w:tr>
        <w:tc>
          <w:tcPr/>
          <w:p>
            <w:pPr>
              <w:pStyle w:val="Compact"/>
            </w:pPr>
          </w:p>
        </w:tc>
      </w:tr>
      <w:tr>
        <w:tc>
          <w:tcPr/>
          <w:p>
            <w:pPr>
              <w:jc w:val="left"/>
            </w:pPr>
            <w:r>
              <w:rPr>
                <w:bCs/>
                <w:b/>
              </w:rPr>
              <w:t xml:space="preserve">Информация о наличии подведомственных государственных (муниципальных) учреждений, подтвержденная данными из ЕГРЮЛ</w:t>
            </w:r>
          </w:p>
        </w:tc>
      </w:tr>
      <w:tr>
        <w:tc>
          <w:tcPr/>
          <w:p>
            <w:pPr>
              <w:pStyle w:val="Compact"/>
            </w:pPr>
          </w:p>
        </w:tc>
      </w:tr>
      <w:tr>
        <w:tc>
          <w:tcPr/>
          <w:p>
            <w:pPr>
              <w:pStyle w:val="Compact"/>
            </w:pPr>
          </w:p>
        </w:tc>
      </w:tr>
      <w:tr>
        <w:tc>
          <w:tcPr/>
          <w:p>
            <w:pPr>
              <w:jc w:val="left"/>
            </w:pPr>
            <w:r>
              <w:rPr>
                <w:bCs/>
                <w:b/>
              </w:rPr>
              <w:t xml:space="preserve">Информация о произошедших за отчетный период изменениях количества подведомственных государственных (муниципальных) учреждений (реорганизации (слияние, присоединение, разделение, выделение, преобразование), ликвидации, изменении типа государственных учреждений, передаче учреждений между бюджетами с указанием причин изменений количества по сравнению с началом отчетного периода</w:t>
            </w:r>
          </w:p>
        </w:tc>
      </w:tr>
      <w:tr>
        <w:tc>
          <w:tcPr/>
          <w:p>
            <w:pPr>
              <w:pStyle w:val="Compact"/>
            </w:pPr>
          </w:p>
        </w:tc>
      </w:tr>
      <w:tr>
        <w:tc>
          <w:tcPr/>
          <w:p>
            <w:pPr>
              <w:pStyle w:val="Compact"/>
            </w:pPr>
          </w:p>
        </w:tc>
      </w:tr>
      <w:tr>
        <w:tc>
          <w:tcPr/>
          <w:p>
            <w:pPr>
              <w:jc w:val="left"/>
            </w:pPr>
            <w:r>
              <w:rPr>
                <w:bCs/>
                <w:b/>
              </w:rPr>
              <w:t xml:space="preserve">Информация о наличии государственных (муниципальных) унитарных и казенных предприятий и изменениях их количества, функций, произошедших за отчетный период, подтвержденная данными из ЕГРЮЛ</w:t>
            </w:r>
          </w:p>
        </w:tc>
      </w:tr>
      <w:tr>
        <w:tc>
          <w:tcPr/>
          <w:p>
            <w:pPr>
              <w:pStyle w:val="Compact"/>
            </w:pPr>
          </w:p>
        </w:tc>
      </w:tr>
      <w:tr>
        <w:tc>
          <w:tcPr/>
          <w:p>
            <w:pPr>
              <w:pStyle w:val="Compact"/>
            </w:pPr>
          </w:p>
        </w:tc>
      </w:tr>
      <w:tr>
        <w:tc>
          <w:tcPr/>
          <w:p>
            <w:pPr>
              <w:jc w:val="left"/>
            </w:pPr>
            <w:r>
              <w:rPr>
                <w:bCs/>
                <w:b/>
              </w:rPr>
              <w:t xml:space="preserve">Информация о наличии филиалов (обособленных подразделений) учреждения по состоянию на отчетную дату с указанием причин, произошедших в течение отчетного периода изменений количества филиалов (обособленных подразделений)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состава бюджетных полномочий получателей, распорядителей бюджетных средств, находящихся в ведении главного распорядителя (распорядителя) бюджетных средств, а также администраторов, находящихся в ведении главных администраторов источников финансирования дефицита бюджета, главных администраторов доходов бюджета</w:t>
            </w:r>
          </w:p>
        </w:tc>
      </w:tr>
      <w:tr>
        <w:tc>
          <w:tcPr/>
          <w:p>
            <w:pPr>
              <w:jc w:val="left"/>
            </w:pPr>
            <w:r>
              <w:t xml:space="preserve">Бюджетные полномочия в отчетном периоде у учреждения не изменялись. Бюджетная отчетность составляется на следующие даты: месячная - на первое число месяца, следующего за отчетным, квартальная - по состоянию на 1 апреля, 1 июля и 1 октября текущего года, годовая - на 1 января года, следующего за отчетным.3. Отчетным годом является календарный год - с 1 января по 31 декабря включительно. Месячная и квартальная отчетность является промежуточной и составляется нарастающим итогом с начала текущего финансового года.</w:t>
            </w:r>
          </w:p>
        </w:tc>
      </w:tr>
      <w:tr>
        <w:tc>
          <w:tcPr/>
          <w:p>
            <w:pPr>
              <w:pStyle w:val="Compact"/>
            </w:pPr>
          </w:p>
        </w:tc>
      </w:tr>
      <w:tr>
        <w:tc>
          <w:tcPr/>
          <w:p>
            <w:pPr>
              <w:jc w:val="left"/>
            </w:pPr>
            <w:r>
              <w:rPr>
                <w:bCs/>
                <w:b/>
              </w:rPr>
              <w:t xml:space="preserve">Информация о передаче полномочий по ведению бухгалтерского учета иному учреждению (централизованной бухгалтерии) на основании договора (соглашения) с указанием их реквизитов</w:t>
            </w:r>
          </w:p>
        </w:tc>
      </w:tr>
      <w:tr>
        <w:tc>
          <w:tcPr/>
          <w:p>
            <w:pPr>
              <w:jc w:val="left"/>
            </w:pPr>
            <w:r>
              <w:t xml:space="preserve">Информация о передаче полномочий по ведению бухгалтерского учета иной организации (централизованной бухгалтерии) на основании договора (соглашения) с указанием их реквизитов отсутствует.Полномочия по ведению бухгалтерского учета принадлежат бухгалтерии управы Красносельского района города Москвы, которую возглавляет главный бухгалтер.</w:t>
            </w:r>
          </w:p>
        </w:tc>
      </w:tr>
      <w:tr>
        <w:tc>
          <w:tcPr/>
          <w:p>
            <w:pPr>
              <w:pStyle w:val="Compact"/>
            </w:pPr>
          </w:p>
        </w:tc>
      </w:tr>
      <w:tr>
        <w:tc>
          <w:tcPr/>
          <w:p>
            <w:pPr>
              <w:jc w:val="left"/>
            </w:pPr>
            <w:r>
              <w:rPr>
                <w:bCs/>
                <w:b/>
              </w:rPr>
              <w:t xml:space="preserve">Информация об исполнителе (ФИО, должность) централизованной бухгалтерии, составившем бухгалтерскую отчетность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оказавшая существенное влияние и характеризующая организационную структуру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Учреждение является юридическим лицом, самостоятельно ведет финансово-хозяйственную деятельность. Бухгалтерский учет осуществляется отделом бухгалтерского учета, организации и проведения конкурсов и аукционов (далее – бухгалтерия), возглавляемым начальником отдела – главным бухгалтером. Деятельность бухгалтерии регламентируется должностными регламентами сотрудников. Касса для выдачи наличных денежных средств в учреждении отсутствует. Все расчеты осуществляются в безналичном порядке.</w:t>
            </w:r>
          </w:p>
        </w:tc>
      </w:tr>
      <w:tr>
        <w:tc>
          <w:tcPr/>
          <w:p>
            <w:pPr>
              <w:pStyle w:val="Compact"/>
            </w:pPr>
          </w:p>
        </w:tc>
      </w:tr>
      <w:tr>
        <w:tc>
          <w:tcPr/>
          <w:p>
            <w:pPr>
              <w:jc w:val="left"/>
            </w:pPr>
            <w:r>
              <w:rPr>
                <w:bCs/>
                <w:b/>
              </w:rPr>
              <w:t xml:space="preserve">Прочая информация</w:t>
            </w:r>
          </w:p>
        </w:tc>
      </w:tr>
      <w:tr>
        <w:tc>
          <w:tcPr/>
          <w:p>
            <w:pPr>
              <w:jc w:val="left"/>
            </w:pPr>
            <w:r>
              <w:t xml:space="preserve">В ведомственном подчинении управы находится 2 учреждения – 2 типа учреждений:1. Государственное казенное учреждение - ГКУ «ИС Красносельского района»,2. Государственное бюджетное учреждение ГБУ «Жилищник Красносельского района. Учредителем учреждений является префектура Центрального административного округа города Москвы. Учреждения имеют обособленное имущество, самостоятельный баланс, лицевой счет, печать со своим наименованием, бланки, штампы. Учреждения осуществляют свою деятельность в соответствии с законами и иными нормативными правовыми актами Российской Федерации, а также уставом. Учреждения созданы для оказания (выполнения) государственных услуг, работ и государственных функций в сфере функционирования жилищно-коммунального хозяйства и благоустройства города Москвы.</w:t>
            </w:r>
          </w:p>
        </w:tc>
      </w:tr>
      <w:tr>
        <w:tc>
          <w:tcPr/>
          <w:p>
            <w:pPr>
              <w:pStyle w:val="Compact"/>
            </w:pPr>
          </w:p>
        </w:tc>
      </w:tr>
      <w:tr>
        <w:tc>
          <w:tcPr/>
          <w:p>
            <w:pPr>
              <w:pStyle w:val="Compact"/>
            </w:pPr>
          </w:p>
        </w:tc>
      </w:tr>
    </w:tbl>
    <w:p>
      <w:pPr>
        <w:pStyle w:val="BodyText"/>
      </w:pPr>
      <w:r>
        <w:rPr>
          <w:bCs/>
          <w:b/>
        </w:rPr>
        <w:t xml:space="preserve">Раздел 2 «Результаты деятельности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результатах деятельности получателей бюджетных средств (казенных учреждений) при исполнении ими государственного (муниципального) задания</w:t>
            </w:r>
          </w:p>
        </w:tc>
      </w:tr>
      <w:tr>
        <w:tc>
          <w:tcPr/>
          <w:p>
            <w:pPr>
              <w:jc w:val="left"/>
            </w:pPr>
            <w:r>
              <w:t xml:space="preserve">Информация о результатах деятельности получателей бюджетных средств (казенных учреждений) представляется в годовой бюджетной отчетности и своднойБухгалтерской отчетности в соответствии с требованиями Инструкции о порядке составления и представления годовой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 (в редакции от 30.11.2018 № 244н) (далее - Инструкция № 191н)</w:t>
            </w:r>
          </w:p>
        </w:tc>
      </w:tr>
      <w:tr>
        <w:tc>
          <w:tcPr/>
          <w:p>
            <w:pPr>
              <w:pStyle w:val="Compact"/>
            </w:pPr>
          </w:p>
        </w:tc>
      </w:tr>
      <w:tr>
        <w:tc>
          <w:tcPr/>
          <w:p>
            <w:pPr>
              <w:jc w:val="left"/>
            </w:pPr>
            <w:r>
              <w:rPr>
                <w:bCs/>
                <w:b/>
              </w:rPr>
              <w:t xml:space="preserve">Наименование и место публикации отчета, в котором содержится информация о результатах исполнения субъектами отчетности (казенные учреждения) государственного (муниципального) задания</w:t>
            </w:r>
          </w:p>
        </w:tc>
      </w:tr>
      <w:tr>
        <w:tc>
          <w:tcPr/>
          <w:p>
            <w:pPr>
              <w:jc w:val="left"/>
            </w:pPr>
            <w:r>
              <w:t xml:space="preserve">Официальный сайт для размещения информации о результатах исполнения отчетности:http://krasnoselsky.mos.ru</w:t>
            </w:r>
          </w:p>
        </w:tc>
      </w:tr>
      <w:tr>
        <w:tc>
          <w:tcPr/>
          <w:p>
            <w:pPr>
              <w:pStyle w:val="Compact"/>
            </w:pPr>
          </w:p>
        </w:tc>
      </w:tr>
      <w:tr>
        <w:tc>
          <w:tcPr/>
          <w:p>
            <w:pPr>
              <w:jc w:val="left"/>
            </w:pPr>
            <w:r>
              <w:rPr>
                <w:bCs/>
                <w:b/>
              </w:rPr>
              <w:t xml:space="preserve">Информация, оказавшая существенное влияние и характеризующая результаты деятельности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Заключение государственных контрактов на поставки товаров, выполнение работ,оказание услуг для государственных нужд округа осуществлялось в пределах утвержденных бюджетных ассигнований в соответствии с утвержденной бюджетной сметой учреждения.В управе Красносельского района города Москвы проводится систематический контроль за составлением заключенных договоров, контролиролируется составление заключаемых договоров в пределах утвержденных лимитов бюджетных обязательств и законностью совершаемых операций, проводится анализ соответствия кассовых расходов с производимыми фактическими расходами, проводится проверка составления перечня и номенклатуры полученных товаров (работ, услуг) и номенклатуры оплачиваемых товаров (работ, услуг) согласно договора.</w:t>
            </w:r>
          </w:p>
        </w:tc>
      </w:tr>
      <w:tr>
        <w:tc>
          <w:tcPr/>
          <w:p>
            <w:pPr>
              <w:pStyle w:val="Compact"/>
            </w:pPr>
          </w:p>
        </w:tc>
      </w:tr>
      <w:tr>
        <w:tc>
          <w:tcPr/>
          <w:p>
            <w:pPr>
              <w:jc w:val="left"/>
            </w:pPr>
            <w:r>
              <w:rPr>
                <w:bCs/>
                <w:b/>
              </w:rPr>
              <w:t xml:space="preserve">Сведения о ресурсах, используемых для достижения показателей результативности деятельности субъекта бюджетной отчетности: численность работников - штатная и среднесписочная численность</w:t>
            </w:r>
          </w:p>
        </w:tc>
      </w:tr>
      <w:tr>
        <w:tc>
          <w:tcPr/>
          <w:p>
            <w:pPr>
              <w:jc w:val="left"/>
            </w:pPr>
            <w:r>
              <w:t xml:space="preserve">По состоянию на 01.01.2021года численность работников государственной гражданской службы по штатному расписанию - 33 штатная единица , из них 1 шт. ед. - глава управы, 4 шт. ед. - заместитель главы управы, 26 шт. ед. - государственные гражданские служащие. Фактическая средняя численность работников государственной гражданской службы составляет 27 человек, из них 1 шт. ед. - глава управы, 4 шт. ед. - заместитель главы управы, 27 шт. ед. - государственные гражданские служащие. В 2020 г. повысили квалификацию 14 специалистов.</w:t>
            </w:r>
          </w:p>
        </w:tc>
      </w:tr>
      <w:tr>
        <w:tc>
          <w:tcPr/>
          <w:p>
            <w:pPr>
              <w:pStyle w:val="Compact"/>
            </w:pPr>
          </w:p>
        </w:tc>
      </w:tr>
      <w:tr>
        <w:tc>
          <w:tcPr/>
          <w:p>
            <w:pPr>
              <w:jc w:val="left"/>
            </w:pPr>
            <w:r>
              <w:rPr>
                <w:bCs/>
                <w:b/>
              </w:rPr>
              <w:t xml:space="preserve">Сведения о ресурсах, используемых для достижения показателей результативности деятельности субъекта бюджетной отчетности: стоимость имущества - общая балансовая стоимость основных средств</w:t>
            </w:r>
          </w:p>
        </w:tc>
      </w:tr>
      <w:tr>
        <w:tc>
          <w:tcPr/>
          <w:p>
            <w:pPr>
              <w:jc w:val="left"/>
            </w:pPr>
            <w:r>
              <w:t xml:space="preserve">Балансовая стоимость основных средств в течение года увеличилась на 12,0 % за счет: безвозмездной передачи Департаментом городского имущества города Москвы балансовой стоимости помещений, находящихся в оперативном учете управы в сумме- 580 357,02 руб.; безвозмездной передачи префектурой ЦАО оборудования в сумме 2878213,26 руб. Общая балансовая стоимость основных средств на начало 01.01.2021 года составляет-37 306 700,30руб. в том числе:недвижимое имущество (нежилые помещения) – 11 834 290,50 руб.; машины и оборудование-14 141 929,02 руб.; инвентарь-8093076,48 руб..; прочие-3237404,37 руб.</w:t>
            </w:r>
          </w:p>
        </w:tc>
      </w:tr>
      <w:tr>
        <w:tc>
          <w:tcPr/>
          <w:p>
            <w:pPr>
              <w:pStyle w:val="Compact"/>
            </w:pPr>
          </w:p>
        </w:tc>
      </w:tr>
      <w:tr>
        <w:tc>
          <w:tcPr/>
          <w:p>
            <w:pPr>
              <w:jc w:val="left"/>
            </w:pPr>
            <w:r>
              <w:rPr>
                <w:bCs/>
                <w:b/>
              </w:rPr>
              <w:t xml:space="preserve">Сведения о ресурсах, используемых для достижения показателей результативности деятельности субъекта бюджетной отчетности: объемы бюджетных расходов</w:t>
            </w:r>
          </w:p>
        </w:tc>
      </w:tr>
      <w:tr>
        <w:tc>
          <w:tcPr/>
          <w:p>
            <w:pPr>
              <w:jc w:val="left"/>
            </w:pPr>
            <w:r>
              <w:t xml:space="preserve">На содержание управы утверждено –75 746240,14 руб. Исполнение – 74 298 285,05 руб. или 98,1%, По КОСГУ 211 (Заработная плата) исполнение – 100%. и составило-43 202 200руб.; По КОСГУ 213 (Начисления на оплату труда) исполнение -12 032289,28руб.; 0314 17А 0200 000 «Участие города Москвы в охране общественного порядка и обеспечении общественной безопасности» утверждены ассигнования 22140руб., исполнено-20 296 руб., что составило92%, 0314 35Е 0100 100 «Материально-техническое обеспечение, оплата услуг по содержанию помещений для организации работы общественных пунктов охраны порядка» утверждены ассигнования 589449,86 руб., исполнено 584529,81 руб., или 9,2%;0804 09Г 0700 300 «Содержание помещений, предназначенных для досуговой и социально-воспитательной работы с населением по месту жительства» 2389384,39 руб., исполнение составило 1 888794,77 руб., или 79,0%; 1006 35Е 0100 100 «Материально-техническое обеспечение, оплата услуг по содержанию помещений для организации работы совета ветеранов» утверждены ассигнования 958900,00 руб., исполнение составило 769559,47 руб. ; 0804 35Е 0100 100 «Праздничные и социально-значимые мероприятия для населения в области культуры и кинематографии» утверждены ассигнования 1465500руб.руб.; 1003 35Е 0100 100 «Оказание социально-бытовых услуг льготным категориям граждан, оказание адресной материальной помощи в натуральном и денежном выражении» утверждены ассигнования 150,,00 тыс. руб., исполнение составило 150,00 тыс.руб., 12 гражданам района оказана материальная помощь.</w:t>
            </w:r>
          </w:p>
        </w:tc>
      </w:tr>
      <w:tr>
        <w:tc>
          <w:tcPr/>
          <w:p>
            <w:pPr>
              <w:pStyle w:val="Compact"/>
            </w:pPr>
          </w:p>
        </w:tc>
      </w:tr>
      <w:tr>
        <w:tc>
          <w:tcPr/>
          <w:p>
            <w:pPr>
              <w:jc w:val="left"/>
            </w:pPr>
            <w:r>
              <w:rPr>
                <w:bCs/>
                <w:b/>
              </w:rPr>
              <w:t xml:space="preserve">Сведения о ресурсах, используемых для достижения показателей результативности деятельности субъекта бюджетной отчетности: объемы закупок</w:t>
            </w:r>
          </w:p>
        </w:tc>
      </w:tr>
      <w:tr>
        <w:tc>
          <w:tcPr/>
          <w:p>
            <w:pPr>
              <w:jc w:val="left"/>
            </w:pPr>
            <w:r>
              <w:t xml:space="preserve">В целях повышения эффективности использования бюджетных средств размещение государственного заказа на поставку товаров, выполнение работ, оказание услуг для государственных нужд осуществляется на конкурсной основе в соответствии с Законом № 44-ФЗ от 05.04.2013, мониторинга цен при закупке товара, услуг малыми объемами (до 300,0 тысяч рублей) в электронном магазине.Заключение государственных контрактов на поставки товаров, выполнение работ, оказание услуг для государственных нужд округа осуществлялось в пределах утвержденных бюджетных ассигнований в соответствии с утвержденными бюджетными сметами учреждений.В управе Красносельского района города Москвы проводится систематический контроль за составлением заключенных договоров, контролиролируется составление заключаемых договоров в пределах утвержденных лимитов бюджетных обязательств и законностью совершаемых операций, проводится анализ соответствия кассовых расходов с производимыми фактическими расходами, проводится проверка составления перечня и номенклатуры полученных товаров (работ, услуг) и номенклатуры оплачиваемых товаров (работ, услуг) согласно договора.31 096085,05 руб., кассовое исполнение .</w:t>
            </w:r>
          </w:p>
        </w:tc>
      </w:tr>
      <w:tr>
        <w:tc>
          <w:tcPr/>
          <w:p>
            <w:pPr>
              <w:pStyle w:val="Compact"/>
            </w:pPr>
          </w:p>
        </w:tc>
      </w:tr>
      <w:tr>
        <w:tc>
          <w:tcPr/>
          <w:p>
            <w:pPr>
              <w:jc w:val="left"/>
            </w:pPr>
            <w:r>
              <w:rPr>
                <w:bCs/>
                <w:b/>
              </w:rPr>
              <w:t xml:space="preserve">Сведения об иных ресурсах, используемых для достижения показателей результативности деятельности субъекта бюджетной отчетности</w:t>
            </w:r>
          </w:p>
        </w:tc>
      </w:tr>
      <w:tr>
        <w:tc>
          <w:tcPr/>
          <w:p>
            <w:pPr>
              <w:jc w:val="left"/>
            </w:pPr>
            <w:r>
              <w:t xml:space="preserve">Лимиты потребления теплоэнергоресурсов соблюдаются. Перерасхода нет</w:t>
            </w:r>
          </w:p>
        </w:tc>
      </w:tr>
      <w:tr>
        <w:tc>
          <w:tcPr/>
          <w:p>
            <w:pPr>
              <w:pStyle w:val="Compact"/>
            </w:pPr>
          </w:p>
        </w:tc>
      </w:tr>
      <w:tr>
        <w:tc>
          <w:tcPr/>
          <w:p>
            <w:pPr>
              <w:jc w:val="left"/>
            </w:pPr>
            <w:r>
              <w:rPr>
                <w:bCs/>
                <w:b/>
              </w:rPr>
              <w:t xml:space="preserve">Сведения о техническом состоянии основных фондов</w:t>
            </w:r>
          </w:p>
        </w:tc>
      </w:tr>
      <w:tr>
        <w:tc>
          <w:tcPr/>
          <w:p>
            <w:pPr>
              <w:jc w:val="left"/>
            </w:pPr>
            <w:r>
              <w:t xml:space="preserve">Техническое состояние основных фондов удовлетворительное. Между тем управа испытывает потребность в замене устаревшего компьютерного оборудования, устаревшей мебели на новую в соответствии с требованиями СанПиН.</w:t>
            </w:r>
          </w:p>
        </w:tc>
      </w:tr>
      <w:tr>
        <w:tc>
          <w:tcPr/>
          <w:p>
            <w:pPr>
              <w:pStyle w:val="Compact"/>
            </w:pPr>
          </w:p>
        </w:tc>
      </w:tr>
      <w:tr>
        <w:tc>
          <w:tcPr/>
          <w:p>
            <w:pPr>
              <w:jc w:val="left"/>
            </w:pPr>
            <w:r>
              <w:rPr>
                <w:bCs/>
                <w:b/>
              </w:rPr>
              <w:t xml:space="preserve">Сведения об эффективности использования основных фондов</w:t>
            </w:r>
          </w:p>
        </w:tc>
      </w:tr>
      <w:tr>
        <w:tc>
          <w:tcPr/>
          <w:p>
            <w:pPr>
              <w:jc w:val="left"/>
            </w:pPr>
            <w:r>
              <w:t xml:space="preserve">основным фактором повышени я эффективного использования основных средств является своевременное обновление основных средств; Префектура на безвозмездной основе передала управе оборудования на сумму 2878213,26 руб. Недостачи и порчи имущества в 2020 г. не выявлено. Основные средства использовались для нужд учреждения по своему целевому назначению.</w:t>
            </w:r>
          </w:p>
        </w:tc>
      </w:tr>
      <w:tr>
        <w:tc>
          <w:tcPr/>
          <w:p>
            <w:pPr>
              <w:pStyle w:val="Compact"/>
            </w:pPr>
          </w:p>
        </w:tc>
      </w:tr>
      <w:tr>
        <w:tc>
          <w:tcPr/>
          <w:p>
            <w:pPr>
              <w:jc w:val="left"/>
            </w:pPr>
            <w:r>
              <w:rPr>
                <w:bCs/>
                <w:b/>
              </w:rPr>
              <w:t xml:space="preserve">Сведения об обеспеченности субъекта бюджетной отчетности и его структурных подразделений основными фондами - о соответствии величины, состава и технического уровня основных фондов, реальной потребности в них</w:t>
            </w:r>
          </w:p>
        </w:tc>
      </w:tr>
      <w:tr>
        <w:tc>
          <w:tcPr/>
          <w:p>
            <w:pPr>
              <w:jc w:val="left"/>
            </w:pPr>
            <w:r>
              <w:t xml:space="preserve">Рабочее место каждого сотрудника технически оборудовано в том числе кабинет приема граждан. Каждое подразделение управы снабжено копировальной техникой, факсимильной связью и электронной почтой.</w:t>
            </w:r>
          </w:p>
        </w:tc>
      </w:tr>
      <w:tr>
        <w:tc>
          <w:tcPr/>
          <w:p>
            <w:pPr>
              <w:pStyle w:val="Compact"/>
            </w:pPr>
          </w:p>
        </w:tc>
      </w:tr>
      <w:tr>
        <w:tc>
          <w:tcPr/>
          <w:p>
            <w:pPr>
              <w:jc w:val="left"/>
            </w:pPr>
            <w:r>
              <w:rPr>
                <w:bCs/>
                <w:b/>
              </w:rPr>
              <w:t xml:space="preserve">Характеристика комплектности основных средств</w:t>
            </w:r>
          </w:p>
        </w:tc>
      </w:tr>
      <w:tr>
        <w:tc>
          <w:tcPr/>
          <w:p>
            <w:pPr>
              <w:jc w:val="left"/>
            </w:pPr>
            <w:r>
              <w:t xml:space="preserve">Техника представлена комплектом на каждом рабочем месте, в него входит: компьютер, монитор и принтер, который используется как с локальным подключением, так и с сетевым подключением.</w:t>
            </w:r>
          </w:p>
        </w:tc>
      </w:tr>
      <w:tr>
        <w:tc>
          <w:tcPr/>
          <w:p>
            <w:pPr>
              <w:pStyle w:val="Compact"/>
            </w:pPr>
          </w:p>
        </w:tc>
      </w:tr>
      <w:tr>
        <w:tc>
          <w:tcPr/>
          <w:p>
            <w:pPr>
              <w:jc w:val="left"/>
            </w:pPr>
            <w:r>
              <w:rPr>
                <w:bCs/>
                <w:b/>
              </w:rPr>
              <w:t xml:space="preserve">Информация об изношенности основных средств</w:t>
            </w:r>
          </w:p>
        </w:tc>
      </w:tr>
      <w:tr>
        <w:tc>
          <w:tcPr/>
          <w:p>
            <w:pPr>
              <w:jc w:val="left"/>
            </w:pPr>
            <w:r>
              <w:t xml:space="preserve">В 2020 году управа полностью заменила компьютерное оборудование на новое за счет безвозмездной поставки от префектуры ЦАО</w:t>
            </w:r>
          </w:p>
        </w:tc>
      </w:tr>
      <w:tr>
        <w:tc>
          <w:tcPr/>
          <w:p>
            <w:pPr>
              <w:pStyle w:val="Compact"/>
            </w:pPr>
          </w:p>
        </w:tc>
      </w:tr>
      <w:tr>
        <w:tc>
          <w:tcPr/>
          <w:p>
            <w:pPr>
              <w:jc w:val="left"/>
            </w:pPr>
            <w:r>
              <w:rPr>
                <w:bCs/>
                <w:b/>
              </w:rPr>
              <w:t xml:space="preserve">Сведения об основных мероприятиях по улучшению состояния и сохранности основных средств</w:t>
            </w:r>
          </w:p>
        </w:tc>
      </w:tr>
      <w:tr>
        <w:tc>
          <w:tcPr/>
          <w:p>
            <w:pPr>
              <w:jc w:val="left"/>
            </w:pPr>
            <w:r>
              <w:t xml:space="preserve">В учреждении проводится диагностика, техническое обслуживание, ремонт основных средств.</w:t>
            </w:r>
          </w:p>
        </w:tc>
      </w:tr>
      <w:tr>
        <w:tc>
          <w:tcPr/>
          <w:p>
            <w:pPr>
              <w:pStyle w:val="Compact"/>
            </w:pPr>
          </w:p>
        </w:tc>
      </w:tr>
      <w:tr>
        <w:tc>
          <w:tcPr/>
          <w:p>
            <w:pPr>
              <w:jc w:val="left"/>
            </w:pPr>
            <w:r>
              <w:rPr>
                <w:bCs/>
                <w:b/>
              </w:rPr>
              <w:t xml:space="preserve">Сведения о наличии материальных запасов, необходимых для осуществления деятельности субъекта бюджетной отчетности</w:t>
            </w:r>
          </w:p>
        </w:tc>
      </w:tr>
      <w:tr>
        <w:tc>
          <w:tcPr/>
          <w:p>
            <w:pPr>
              <w:jc w:val="left"/>
            </w:pPr>
            <w:r>
              <w:t xml:space="preserve">Материальные запасы поступают в учреждение своевременно и в полном объме.</w:t>
            </w:r>
          </w:p>
        </w:tc>
      </w:tr>
      <w:tr>
        <w:tc>
          <w:tcPr/>
          <w:p>
            <w:pPr>
              <w:pStyle w:val="Compact"/>
            </w:pPr>
          </w:p>
        </w:tc>
      </w:tr>
      <w:tr>
        <w:tc>
          <w:tcPr/>
          <w:p>
            <w:pPr>
              <w:jc w:val="left"/>
            </w:pPr>
            <w:r>
              <w:rPr>
                <w:bCs/>
                <w:b/>
              </w:rPr>
              <w:t xml:space="preserve">Информация об остатках материальных запасов, имеющих значительный процент объема остатка к годовой потребности</w:t>
            </w:r>
          </w:p>
        </w:tc>
      </w:tr>
      <w:tr>
        <w:tc>
          <w:tcPr/>
          <w:p>
            <w:pPr>
              <w:jc w:val="left"/>
            </w:pPr>
            <w:r>
              <w:t xml:space="preserve">Материальные запасы в учреждении имеются в объеме, необходимом для осуществления деятельности - на сумму- 3729 667,09 руб. Дефицита в материальных запасах не допускалось</w:t>
            </w:r>
          </w:p>
        </w:tc>
      </w:tr>
      <w:tr>
        <w:tc>
          <w:tcPr/>
          <w:p>
            <w:pPr>
              <w:pStyle w:val="Compact"/>
            </w:pPr>
          </w:p>
        </w:tc>
      </w:tr>
      <w:tr>
        <w:tc>
          <w:tcPr/>
          <w:p>
            <w:pPr>
              <w:jc w:val="left"/>
            </w:pPr>
            <w:r>
              <w:rPr>
                <w:bCs/>
                <w:b/>
              </w:rPr>
              <w:t xml:space="preserve">Информация об основных видах безвозмездно полученных услуг (работ)</w:t>
            </w:r>
          </w:p>
        </w:tc>
      </w:tr>
      <w:tr>
        <w:tc>
          <w:tcPr/>
          <w:p>
            <w:pPr>
              <w:jc w:val="left"/>
            </w:pPr>
            <w:r>
              <w:t xml:space="preserve">Информация отсутствует</w:t>
            </w:r>
          </w:p>
        </w:tc>
      </w:tr>
      <w:tr>
        <w:tc>
          <w:tcPr/>
          <w:p>
            <w:pPr>
              <w:pStyle w:val="Compact"/>
            </w:pPr>
          </w:p>
        </w:tc>
      </w:tr>
      <w:tr>
        <w:tc>
          <w:tcPr/>
          <w:p>
            <w:pPr>
              <w:jc w:val="left"/>
            </w:pPr>
            <w:r>
              <w:rPr>
                <w:bCs/>
                <w:b/>
              </w:rPr>
              <w:t xml:space="preserve">Прочая информация</w:t>
            </w:r>
          </w:p>
        </w:tc>
      </w:tr>
      <w:tr>
        <w:tc>
          <w:tcPr/>
          <w:p>
            <w:pPr>
              <w:jc w:val="left"/>
            </w:pPr>
            <w:r>
              <w:t xml:space="preserve">В целях сохранности материальной базы учреждения проводится ежегодная инвентаризация перед составлением годовой бюджетной отчетности</w:t>
            </w:r>
          </w:p>
        </w:tc>
      </w:tr>
      <w:tr>
        <w:tc>
          <w:tcPr/>
          <w:p>
            <w:pPr>
              <w:pStyle w:val="Compact"/>
            </w:pPr>
          </w:p>
        </w:tc>
      </w:tr>
      <w:tr>
        <w:tc>
          <w:tcPr/>
          <w:p>
            <w:pPr>
              <w:pStyle w:val="Compact"/>
            </w:pPr>
          </w:p>
        </w:tc>
      </w:tr>
    </w:tbl>
    <w:p>
      <w:pPr>
        <w:pStyle w:val="BodyText"/>
      </w:pPr>
      <w:r>
        <w:rPr>
          <w:bCs/>
          <w:b/>
        </w:rPr>
        <w:t xml:space="preserve">Раздел 3 «Анализ отчета об исполнении бюджета субъектом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раскрывающая причины отклонений показателей уточненной бюджетной росписи от показателей бюджетных ассигнований, предусмотренных законом о бюджете, с указанием ссылок на правовые основания внесения уточнений в бюджетную роспись</w:t>
            </w:r>
          </w:p>
        </w:tc>
      </w:tr>
      <w:tr>
        <w:tc>
          <w:tcPr/>
          <w:p>
            <w:pPr>
              <w:pStyle w:val="Compact"/>
            </w:pPr>
          </w:p>
        </w:tc>
      </w:tr>
      <w:tr>
        <w:tc>
          <w:tcPr/>
          <w:p>
            <w:pPr>
              <w:pStyle w:val="Compact"/>
            </w:pPr>
          </w:p>
        </w:tc>
      </w:tr>
      <w:tr>
        <w:tc>
          <w:tcPr/>
          <w:p>
            <w:pPr>
              <w:jc w:val="left"/>
            </w:pPr>
            <w:r>
              <w:rPr>
                <w:bCs/>
                <w:b/>
              </w:rPr>
              <w:t xml:space="preserve">Информация, оказавшая существенное влияние и характеризующая результаты исполнения бюджета субъектом бюджетной отчетности за отчетный период, не нашедшая отражения в таблицах и приложениях, включаемых в раздел</w:t>
            </w:r>
          </w:p>
        </w:tc>
      </w:tr>
      <w:tr>
        <w:tc>
          <w:tcPr/>
          <w:p>
            <w:pPr>
              <w:jc w:val="left"/>
            </w:pPr>
            <w:r>
              <w:t xml:space="preserve">Кредиторская задолженность за 2020 год составляет -167800,42 руб. Дебиторская задолженность в сумме 31780,16 руб. будет погашена в 2021году.</w:t>
            </w:r>
          </w:p>
        </w:tc>
      </w:tr>
      <w:tr>
        <w:tc>
          <w:tcPr/>
          <w:p>
            <w:pPr>
              <w:pStyle w:val="Compact"/>
            </w:pPr>
          </w:p>
        </w:tc>
      </w:tr>
      <w:tr>
        <w:tc>
          <w:tcPr/>
          <w:p>
            <w:pPr>
              <w:jc w:val="left"/>
            </w:pPr>
            <w:r>
              <w:rPr>
                <w:bCs/>
                <w:b/>
              </w:rPr>
              <w:t xml:space="preserve">Информация о принятых субъектом отчетности обязательствах (денежных обязательствах), исполнение которых предусмотрено в соответствующих финансовых годах, следующих за отчетным годом (на основании ф.0503128)</w:t>
            </w:r>
          </w:p>
        </w:tc>
      </w:tr>
      <w:tr>
        <w:tc>
          <w:tcPr/>
          <w:p>
            <w:pPr>
              <w:jc w:val="left"/>
            </w:pPr>
            <w:r>
              <w:t xml:space="preserve">Принятие бюджетных и денежных обязательств сверх доведенного объема лимитов бюджетных обязательств в 2020 г. не допускалось.</w:t>
            </w:r>
          </w:p>
        </w:tc>
      </w:tr>
      <w:tr>
        <w:tc>
          <w:tcPr/>
          <w:p>
            <w:pPr>
              <w:pStyle w:val="Compact"/>
            </w:pPr>
          </w:p>
        </w:tc>
      </w:tr>
      <w:tr>
        <w:tc>
          <w:tcPr/>
          <w:p>
            <w:pPr>
              <w:jc w:val="left"/>
            </w:pPr>
            <w:r>
              <w:rPr>
                <w:bCs/>
                <w:b/>
              </w:rPr>
              <w:t xml:space="preserve">Информация о принятии бюджетных обязательств (денежных обязательств) сверх утвержденного субъекту бюджетной отчетности на финансовый год объема бюджетных ассигнований и (или) лимитов бюджетных обязательств (на основании ф.0503128)</w:t>
            </w:r>
          </w:p>
        </w:tc>
      </w:tr>
      <w:tr>
        <w:tc>
          <w:tcPr/>
          <w:p>
            <w:pPr>
              <w:jc w:val="left"/>
            </w:pPr>
            <w:r>
              <w:t xml:space="preserve">Информация по некассовым операциям отсутствует.</w:t>
            </w:r>
          </w:p>
        </w:tc>
      </w:tr>
      <w:tr>
        <w:tc>
          <w:tcPr/>
          <w:p>
            <w:pPr>
              <w:pStyle w:val="Compact"/>
            </w:pPr>
          </w:p>
        </w:tc>
      </w:tr>
      <w:tr>
        <w:tc>
          <w:tcPr/>
          <w:p>
            <w:pPr>
              <w:jc w:val="left"/>
            </w:pPr>
            <w:r>
              <w:rPr>
                <w:bCs/>
                <w:b/>
              </w:rPr>
              <w:t xml:space="preserve">Информация (пояснения) о некассовых операциях, отраженных в Отчете (ф. 0503127) (характеристика операций)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отклонения суммы неисполненных назначений, отраженных в графе 9 по соответствующим строкам раздела «Доходы» ф. 0503127, формирующих итоговый показатель по доходам, от разницы показателей граф 4 и 8 по строке 010 «Доходы бюджета - всего»</w:t>
            </w:r>
          </w:p>
        </w:tc>
      </w:tr>
      <w:tr>
        <w:tc>
          <w:tcPr/>
          <w:p>
            <w:pPr>
              <w:pStyle w:val="Compact"/>
            </w:pPr>
          </w:p>
        </w:tc>
      </w:tr>
      <w:tr>
        <w:tc>
          <w:tcPr/>
          <w:p>
            <w:pPr>
              <w:pStyle w:val="Compact"/>
            </w:pPr>
          </w:p>
        </w:tc>
      </w:tr>
      <w:tr>
        <w:tc>
          <w:tcPr/>
          <w:p>
            <w:pPr>
              <w:jc w:val="left"/>
            </w:pPr>
            <w:r>
              <w:rPr>
                <w:bCs/>
                <w:b/>
              </w:rPr>
              <w:t xml:space="preserve">Комплексный анализ исполнения бюджета по доходам, с отражением причин отклонений показателей исполнения бюджета от плановых показателей (на основании ф. 0503164)</w:t>
            </w:r>
          </w:p>
        </w:tc>
      </w:tr>
      <w:tr>
        <w:tc>
          <w:tcPr/>
          <w:p>
            <w:pPr>
              <w:pStyle w:val="Compact"/>
            </w:pPr>
          </w:p>
        </w:tc>
      </w:tr>
      <w:tr>
        <w:tc>
          <w:tcPr/>
          <w:p>
            <w:pPr>
              <w:pStyle w:val="Compact"/>
            </w:pPr>
          </w:p>
        </w:tc>
      </w:tr>
      <w:tr>
        <w:tc>
          <w:tcPr/>
          <w:p>
            <w:pPr>
              <w:jc w:val="left"/>
            </w:pPr>
            <w:r>
              <w:rPr>
                <w:bCs/>
                <w:b/>
              </w:rPr>
              <w:t xml:space="preserve">Комплексный анализ исполнения бюджета по расходам в разрезе государственных программ, подпрограмм города Москвы (непрограммных направлений деятельности) (1 - 5 знак целевой статьи расходов), в том числе в рамках реализации национальных (региональных) проектов, включая расходы на перечисление субсидий подведомственным учреждениям на реализацию региональных проектов (на основании ф.0503164)</w:t>
            </w:r>
          </w:p>
        </w:tc>
      </w:tr>
      <w:tr>
        <w:tc>
          <w:tcPr/>
          <w:p>
            <w:pPr>
              <w:pStyle w:val="Compact"/>
            </w:pPr>
          </w:p>
        </w:tc>
      </w:tr>
      <w:tr>
        <w:tc>
          <w:tcPr/>
          <w:p>
            <w:pPr>
              <w:pStyle w:val="Compact"/>
            </w:pPr>
          </w:p>
        </w:tc>
      </w:tr>
      <w:tr>
        <w:tc>
          <w:tcPr/>
          <w:p>
            <w:pPr>
              <w:jc w:val="left"/>
            </w:pPr>
            <w:r>
              <w:rPr>
                <w:bCs/>
                <w:b/>
              </w:rPr>
              <w:t xml:space="preserve">Комплексный анализ исполнения бюджета по расходам в разрезе государственных программ (непрограммных направлений деятельности), подпрограмм государственных программ города Москвы (непрограммного направления деятельности), (1 - 5 знак целевой статьи расходов), дополнительно с отражением информации о плановых и фактически достигнутых натуральных показателях (по видам работ и конкретных мероприятиях) государственными учреждениями подведомственными органам исполнительной власти, а также причин отклонения показателей исполнения бюджета от плановых показателей на основании форм бюджетной отчетности</w:t>
            </w:r>
          </w:p>
        </w:tc>
      </w:tr>
      <w:tr>
        <w:tc>
          <w:tcPr/>
          <w:p>
            <w:pPr>
              <w:pStyle w:val="Compact"/>
            </w:pPr>
          </w:p>
        </w:tc>
      </w:tr>
      <w:tr>
        <w:tc>
          <w:tcPr/>
          <w:p>
            <w:pPr>
              <w:pStyle w:val="Compact"/>
            </w:pPr>
          </w:p>
        </w:tc>
      </w:tr>
      <w:tr>
        <w:tc>
          <w:tcPr/>
          <w:p>
            <w:pPr>
              <w:jc w:val="left"/>
            </w:pPr>
            <w:r>
              <w:rPr>
                <w:bCs/>
                <w:b/>
              </w:rPr>
              <w:t xml:space="preserve">Комплексный анализ исполнения бюджета по источникам финансирования дефицита бюджета с отражением причин отклонений показателей исполнения бюджета от плановых показателей (на основании ф. 0503164)</w:t>
            </w:r>
          </w:p>
        </w:tc>
      </w:tr>
      <w:tr>
        <w:tc>
          <w:tcPr/>
          <w:p>
            <w:pPr>
              <w:pStyle w:val="Compact"/>
            </w:pPr>
          </w:p>
        </w:tc>
      </w:tr>
      <w:tr>
        <w:tc>
          <w:tcPr/>
          <w:p>
            <w:pPr>
              <w:pStyle w:val="Compact"/>
            </w:pPr>
          </w:p>
        </w:tc>
      </w:tr>
      <w:tr>
        <w:tc>
          <w:tcPr/>
          <w:p>
            <w:pPr>
              <w:jc w:val="left"/>
            </w:pPr>
            <w:r>
              <w:rPr>
                <w:bCs/>
                <w:b/>
              </w:rPr>
              <w:t xml:space="preserve">Информация, раскрывающая причины неисполнения плановых показателей по расходам бюджета, отраженных в ф.0503164 с кодами причин неисполнения "199" (иные причины)</w:t>
            </w:r>
          </w:p>
        </w:tc>
      </w:tr>
      <w:tr>
        <w:tc>
          <w:tcPr/>
          <w:p>
            <w:pPr>
              <w:pStyle w:val="Compact"/>
            </w:pPr>
          </w:p>
        </w:tc>
      </w:tr>
      <w:tr>
        <w:tc>
          <w:tcPr/>
          <w:p>
            <w:pPr>
              <w:pStyle w:val="Compact"/>
            </w:pPr>
          </w:p>
        </w:tc>
      </w:tr>
      <w:tr>
        <w:tc>
          <w:tcPr/>
          <w:p>
            <w:pPr>
              <w:jc w:val="left"/>
            </w:pPr>
            <w:r>
              <w:rPr>
                <w:bCs/>
                <w:b/>
              </w:rPr>
              <w:t xml:space="preserve">Расшифровка курсовой разницы отраженной в ф.0503127 в разрезе следующих показателей (положительная курсовая разница, отрицательная курсовая разница, начисленная по доходам или расходам)</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Сведения, раскрывающие информацию о ходе реализации государственными (муниципальными) бюджетными и автономными учреждениями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за счет средств субсидии на иные цели и субсидии на цели осуществления капитальных вложений, с указанием причин образования остатков средств целевых субсидий</w:t>
            </w:r>
          </w:p>
        </w:tc>
      </w:tr>
      <w:tr>
        <w:tc>
          <w:tcPr/>
          <w:p>
            <w:pPr>
              <w:pStyle w:val="Compact"/>
            </w:pPr>
          </w:p>
        </w:tc>
      </w:tr>
      <w:tr>
        <w:tc>
          <w:tcPr/>
          <w:p>
            <w:pPr>
              <w:pStyle w:val="Compact"/>
            </w:pPr>
          </w:p>
        </w:tc>
      </w:tr>
      <w:tr>
        <w:tc>
          <w:tcPr/>
          <w:p>
            <w:pPr>
              <w:jc w:val="left"/>
            </w:pPr>
            <w:r>
              <w:rPr>
                <w:bCs/>
                <w:b/>
              </w:rPr>
              <w:t xml:space="preserve">Информация, раскрывающая данные о неисполненных принятых бюджетных обязательствах и денежных обязательствах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(на основании ф.0503128-НП)</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обобщенным данным об операциях по управлению остатками средств на едином счете соответствующего бюджета за отчетный период (формируется органом уполномоченным на осуществление операций по управлению остатками средств на едином счете соответствующего бюджета)</w:t>
            </w:r>
          </w:p>
        </w:tc>
      </w:tr>
      <w:tr>
        <w:tc>
          <w:tcPr/>
          <w:p>
            <w:pPr>
              <w:pStyle w:val="Compact"/>
            </w:pPr>
          </w:p>
        </w:tc>
      </w:tr>
      <w:tr>
        <w:tc>
          <w:tcPr/>
          <w:p>
            <w:pPr>
              <w:pStyle w:val="Compact"/>
            </w:pPr>
          </w:p>
        </w:tc>
      </w:tr>
      <w:tr>
        <w:tc>
          <w:tcPr/>
          <w:p>
            <w:pPr>
              <w:jc w:val="left"/>
            </w:pPr>
            <w:r>
              <w:rPr>
                <w:bCs/>
                <w:b/>
              </w:rPr>
              <w:t xml:space="preserve">Прочая информация</w:t>
            </w:r>
          </w:p>
        </w:tc>
      </w:tr>
      <w:tr>
        <w:tc>
          <w:tcPr/>
          <w:p>
            <w:pPr>
              <w:jc w:val="left"/>
            </w:pPr>
            <w:r>
              <w:t xml:space="preserve">Показатели исполнения бюджета отражены в отчете (ф. 0503127) на 01.01.2021</w:t>
            </w:r>
          </w:p>
        </w:tc>
      </w:tr>
      <w:tr>
        <w:tc>
          <w:tcPr/>
          <w:p>
            <w:pPr>
              <w:pStyle w:val="Compact"/>
            </w:pPr>
          </w:p>
        </w:tc>
      </w:tr>
      <w:tr>
        <w:tc>
          <w:tcPr/>
          <w:p>
            <w:pPr>
              <w:pStyle w:val="Compact"/>
            </w:pPr>
          </w:p>
        </w:tc>
      </w:tr>
    </w:tbl>
    <w:p>
      <w:pPr>
        <w:pStyle w:val="BodyText"/>
      </w:pPr>
      <w:r>
        <w:rPr>
          <w:bCs/>
          <w:b/>
        </w:rPr>
        <w:t xml:space="preserve">Раздел 4 «Анализ показателей бухгалтерской отчетности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Пояснение сумм поступлений объектов нефинансовых активов, вложений в нефинансовые активы в результате принятия к учету ранее неучтенных объектов (восстановленных в учете) на основании ф.0503168</w:t>
            </w:r>
          </w:p>
        </w:tc>
      </w:tr>
      <w:tr>
        <w:tc>
          <w:tcPr/>
          <w:p>
            <w:pPr>
              <w:jc w:val="left"/>
            </w:pPr>
            <w:r>
              <w:t xml:space="preserve">Принятых к учету ранее неучтенных объектов нет.</w:t>
            </w:r>
          </w:p>
        </w:tc>
      </w:tr>
      <w:tr>
        <w:tc>
          <w:tcPr/>
          <w:p>
            <w:pPr>
              <w:pStyle w:val="Compact"/>
            </w:pPr>
          </w:p>
        </w:tc>
      </w:tr>
      <w:tr>
        <w:tc>
          <w:tcPr/>
          <w:p>
            <w:pPr>
              <w:jc w:val="left"/>
            </w:pPr>
            <w:r>
              <w:rPr>
                <w:bCs/>
                <w:b/>
              </w:rPr>
              <w:t xml:space="preserve">Пояснение сумм выбытий объектов нефинансовых активов, вложений в нефинансовые активы в результате недостач, хищений (на основании ф.0503168)</w:t>
            </w:r>
          </w:p>
        </w:tc>
      </w:tr>
      <w:tr>
        <w:tc>
          <w:tcPr/>
          <w:p>
            <w:pPr>
              <w:jc w:val="left"/>
            </w:pPr>
            <w:r>
              <w:t xml:space="preserve">Выбытий сумм объектов нефинансовых активов в результате недостач нет.</w:t>
            </w:r>
          </w:p>
        </w:tc>
      </w:tr>
      <w:tr>
        <w:tc>
          <w:tcPr/>
          <w:p>
            <w:pPr>
              <w:pStyle w:val="Compact"/>
            </w:pPr>
          </w:p>
        </w:tc>
      </w:tr>
      <w:tr>
        <w:tc>
          <w:tcPr/>
          <w:p>
            <w:pPr>
              <w:jc w:val="left"/>
            </w:pPr>
            <w:r>
              <w:rPr>
                <w:bCs/>
                <w:b/>
              </w:rPr>
              <w:t xml:space="preserve">Информация, раскрываемая по каждой группе основных средств, об используемых методах начисления амортизации</w:t>
            </w:r>
          </w:p>
        </w:tc>
      </w:tr>
      <w:tr>
        <w:tc>
          <w:tcPr/>
          <w:p>
            <w:pPr>
              <w:jc w:val="left"/>
            </w:pPr>
            <w:r>
              <w:t xml:space="preserve">Начисление амортизации объектов основных средств производится линейным методом. Амортизация начисляется: на объект основных средств стоимостью свыше 100 000 рублей в соответствии с рассчитанными нормами амортизации; на объект основных средств стоимостью до 10 000 рублей включительно, за исключением объектов библиотечного фонда, амортизация не начисляется; на объект библиотечного фонда стоимостью до 100 000 рублей включительно амортизация начисляется в размере 100% первоначальной стоимости при выдаче его в эксплуатацию; на иной объект основных средств стоимостью от 10 000 до 100 000 рублей включительно амортизация начисляется в размере 100% первоначальной стоимости при выдаче его в эксплуатацию</w:t>
            </w:r>
          </w:p>
        </w:tc>
      </w:tr>
      <w:tr>
        <w:tc>
          <w:tcPr/>
          <w:p>
            <w:pPr>
              <w:pStyle w:val="Compact"/>
            </w:pPr>
          </w:p>
        </w:tc>
      </w:tr>
      <w:tr>
        <w:tc>
          <w:tcPr/>
          <w:p>
            <w:pPr>
              <w:jc w:val="left"/>
            </w:pPr>
            <w:r>
              <w:rPr>
                <w:bCs/>
                <w:b/>
              </w:rPr>
              <w:t xml:space="preserve">Информация, раскрываемая по каждой группе основных средств, об используемых методах определения сроков полезного использования</w:t>
            </w:r>
          </w:p>
        </w:tc>
      </w:tr>
      <w:tr>
        <w:tc>
          <w:tcPr/>
          <w:p>
            <w:pPr>
              <w:jc w:val="left"/>
            </w:pPr>
            <w:r>
              <w:t xml:space="preserve">Срок полезного использования основных средств устанавливается в соответствии с Классификацией основных средств, включаемых в амортизационные группы (утв. Постановлением Правительства РФ от 01.01.2002 N 1) (далее - Классификация). Расчет суммы амортизации основных средств, входящих в первые девять амортизационных групп Классификации, осуществляется в соответствии с максимальными сроками полезного использования имущества, установленными для этих групп. Для основных средств, входящих в десятую амортизационную группу Классификации основных средств, расчет суммы амортизации производится исходя из Единых норм амортизационных отчислений на полное восстановление основных фондов народного хозяйства СССР, утвержденных Постановлением Совета Министров СССР от 22.10.1990 N 1072." 2. Если основное средство не упомянуто в Классификации основных средств, срок полезного использования установливается самостоятельнокомиссией по поступлению и выбытию активов в соответствии с п. 35 ФСБУ ""Основные средства"";3. в отношении материальных ценностей, которые в соответствии с ФСБУ «Основные средства», Инструкцией № 157н относятся к объектам основныхсредств, но не вошли в ОКОФ ОК 013-2014 (СНС 2008), принятие к учету производится в качестве объекта основных средств с группировкой согласноОбщероссийскому классификатору основных средств ОК 013-94;4. в случае если согласно классификатору ОКОФ ОК 013-2014 (СНС 2008) материальные ценности отнесены к основным фондам, но в соответствии спунктом 99 Инструкции № 157н указанные ценности относятся к материальным запасам (несмотря на то, что срок полезного использования данныхобъектов более 12 месяцев), такие объекты принимаются к учету в составе материальных запасов</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сумму стоимости поступивших объектов основных средств с отдельным раскрытием сумм поступлений в результате приобретения (создания) объектов основных средств, получения объектов от собственника (учредителя), иной организации государственного сектора, в результате увеличений балансовой стоимости объектов основных средств, в результате реклассификаций</w:t>
            </w:r>
          </w:p>
        </w:tc>
      </w:tr>
      <w:tr>
        <w:tc>
          <w:tcPr/>
          <w:p>
            <w:pPr>
              <w:jc w:val="left"/>
            </w:pPr>
            <w:r>
              <w:t xml:space="preserve">Изменения остаточной стоимости основных средств: движимое имущество учреждения увеличилось в результате: 1.безвозмездной передачи Департаментом городского имущества города Москвы балансовой стоимости 2 помещений, находящихся в оперативном учете управы в сумме- 580357,02 руб.; поступления основных средств по группе "Машины и оборудование"-2 983 733,43 руб. в т.ч.2 878 213,26 руб.получены безвозмездно из префектуры ЦАО г. Москвы; по группе "Производственный и хозяйственный инвентарь"в в сумме 130 000,00 руб.; по группе "Прочие основные средства"- 118 060,47,00руб.; "недвижимое имущество учреждения" в результате реклассификации основных средств (перемещение основных средств между видами имущества): остаточная стоимость по группе "Нежилые помещения (здания и сооружения) уменьшилась на сумму 2,00руб.</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сумму стоимости выбывших объектов основных средств с отдельным раскрытием сумм выбытий в результате передачи объектов имущества, учитываемых в составе основных средств, собственнику (учредителю), иной организации государственного сектора, а также в результате реклассификаций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суммы увеличения или уменьшения остаточной стоимости объектов основных средств в результате признания в отношении их убытков от обесценения активов (снижения убытков от обесценения активов), отраженных или восстановленных в соответствии с федеральным стандартом «Обесценение активов», суммы накопленного убытка от обесценения объектов основных средств на отчетную дату</w:t>
            </w:r>
          </w:p>
        </w:tc>
      </w:tr>
      <w:tr>
        <w:tc>
          <w:tcPr/>
          <w:p>
            <w:pPr>
              <w:jc w:val="left"/>
            </w:pPr>
            <w:r>
              <w:t xml:space="preserve">Данные по обесценению активов отсутствуют</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чистые курсовые разницы, возникающие при пересчете бухгалтерской (финансовой) отчетности из функциональной валюты в отличную от нее валюту представления или пересчете бухгалтерской (финансовой) отчетности в иностранной валюте по зарубежной деятельности в функциональную валюту</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первоначальную стоимость, балансовую стоимость и переоцененную стоимость объектов основных средств, отчуждаемых не в пользу организаций государственного сектора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прочие изменения стоимости объектов основных средств</w:t>
            </w:r>
          </w:p>
        </w:tc>
      </w:tr>
      <w:tr>
        <w:tc>
          <w:tcPr/>
          <w:p>
            <w:pPr>
              <w:jc w:val="left"/>
            </w:pPr>
            <w:r>
              <w:t xml:space="preserve">Изменение остаточной стоимости за счет начисления амортизации и безвозмездной передачи а также безвозмездного поступления основных средств. Остаточная стоимость по группе "Нежилые помещения (здания и сооружения)": на начало 6 357 731,09 руб. на конец периода- 6 848 730,38 руб. Остаточная стоимость по группе "Машины и оборудование" на начало периода 9 967 087,48руб., на конец -10 476 417,81руб. Остаточная стоимость по группе "Инвентарь производственный и хозяйственный" на начало периода 7 496 383,81руб., на конец – 7 902 463,03 руб. Остаточная стоимость по группе "Прочие основные средства" на начало587903,08 руб. на конец периода -902 610,82 руб.</w:t>
            </w:r>
          </w:p>
        </w:tc>
      </w:tr>
      <w:tr>
        <w:tc>
          <w:tcPr/>
          <w:p>
            <w:pPr>
              <w:pStyle w:val="Compact"/>
            </w:pPr>
          </w:p>
        </w:tc>
      </w:tr>
      <w:tr>
        <w:tc>
          <w:tcPr/>
          <w:p>
            <w:pPr>
              <w:jc w:val="left"/>
            </w:pPr>
            <w:r>
              <w:rPr>
                <w:bCs/>
                <w:b/>
              </w:rPr>
              <w:t xml:space="preserve">Информация, раскрываемая по каждой группе основных средств, о наличии и размере ограничений прав собственности или иных предоставленных прав</w:t>
            </w:r>
          </w:p>
        </w:tc>
      </w:tr>
      <w:tr>
        <w:tc>
          <w:tcPr/>
          <w:p>
            <w:pPr>
              <w:jc w:val="left"/>
            </w:pPr>
            <w:r>
              <w:t xml:space="preserve">Ограничения прав собственности или иных прав отсутствуют.</w:t>
            </w:r>
          </w:p>
        </w:tc>
      </w:tr>
      <w:tr>
        <w:tc>
          <w:tcPr/>
          <w:p>
            <w:pPr>
              <w:pStyle w:val="Compact"/>
            </w:pPr>
          </w:p>
        </w:tc>
      </w:tr>
      <w:tr>
        <w:tc>
          <w:tcPr/>
          <w:p>
            <w:pPr>
              <w:jc w:val="left"/>
            </w:pPr>
            <w:r>
              <w:rPr>
                <w:bCs/>
                <w:b/>
              </w:rPr>
              <w:t xml:space="preserve">Информация о стоимости объектов недвижимого и движимого имущества, которые субъект учета не вправе использовать в качестве обеспечения исполнения своих обязательств</w:t>
            </w:r>
          </w:p>
        </w:tc>
      </w:tr>
      <w:tr>
        <w:tc>
          <w:tcPr/>
          <w:p>
            <w:pPr>
              <w:jc w:val="left"/>
            </w:pPr>
            <w:r>
              <w:t xml:space="preserve">Все движимое имущество закреплено за управой на праве оперативного владения. и не в праве использоваться в качестве обеспечения исполнения своих обязательств</w:t>
            </w:r>
          </w:p>
        </w:tc>
      </w:tr>
      <w:tr>
        <w:tc>
          <w:tcPr/>
          <w:p>
            <w:pPr>
              <w:pStyle w:val="Compact"/>
            </w:pPr>
          </w:p>
        </w:tc>
      </w:tr>
      <w:tr>
        <w:tc>
          <w:tcPr/>
          <w:p>
            <w:pPr>
              <w:jc w:val="left"/>
            </w:pPr>
            <w:r>
              <w:rPr>
                <w:bCs/>
                <w:b/>
              </w:rPr>
              <w:t xml:space="preserve">Перечень основных средств, переданных в качестве обеспечения исполнения обязательств субъекта учета, с отражением остаточной стоимости на начало и конец отчетного периода</w:t>
            </w:r>
          </w:p>
        </w:tc>
      </w:tr>
      <w:tr>
        <w:tc>
          <w:tcPr/>
          <w:p>
            <w:pPr>
              <w:jc w:val="left"/>
            </w:pPr>
            <w:r>
              <w:t xml:space="preserve">Операции по передаче основных средств в качестве обеспечения исполнения обязательств не осуществлялись</w:t>
            </w:r>
          </w:p>
        </w:tc>
      </w:tr>
      <w:tr>
        <w:tc>
          <w:tcPr/>
          <w:p>
            <w:pPr>
              <w:pStyle w:val="Compact"/>
            </w:pPr>
          </w:p>
        </w:tc>
      </w:tr>
      <w:tr>
        <w:tc>
          <w:tcPr/>
          <w:p>
            <w:pPr>
              <w:jc w:val="left"/>
            </w:pPr>
            <w:r>
              <w:rPr>
                <w:bCs/>
                <w:b/>
              </w:rPr>
              <w:t xml:space="preserve">Дополнительная информация, раскрываемая по каждой группе основных средств, о сумме затрат, включенных в стоимость объектов основных средств в ходе его строительства, на начало и конец отчетного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Дополнительная информация, раскрываемая по каждой группе основных средств, о сумме договорных обязательств по приобретению (строительству) основных средств на конец отчетного периода (по каждой группе основных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Дополнительная информация, раскрываемая по каждой группе основных средств, о сумме компенсаций, причитающихся к получению от третьих сторон в связи с обесценением, утратой или передачей основных средств, включенных в доходы текущего периода, в случае, когда такая информация не раскрыта отдельно в отчете о финансовых результатах деятельности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описание объектов инвестиционной недвижимости</w:t>
            </w:r>
          </w:p>
        </w:tc>
      </w:tr>
      <w:tr>
        <w:tc>
          <w:tcPr/>
          <w:p>
            <w:pPr>
              <w:jc w:val="left"/>
            </w:pPr>
            <w:r>
              <w:t xml:space="preserve">Группа основных средств "Инвестиционная недвижимость" в учете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критерии признания объектов основных средств, применяемые при отнесении активов к группе основных средств «Инвестиционная недвижимость»</w:t>
            </w:r>
          </w:p>
        </w:tc>
      </w:tr>
      <w:tr>
        <w:tc>
          <w:tcPr/>
          <w:p>
            <w:pPr>
              <w:jc w:val="left"/>
            </w:pPr>
            <w:r>
              <w:t xml:space="preserve">Группа основных средств "Инвестиционная недвижимость" в учете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суммы, признанные в качестве дохода от платы за пользование имуществом (арендной платы) и (или) увеличения стоимости недвижимого имущества, учитываемого в составе группы основных средств «Инвестиционная недвижимость»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суммы, признанные в качестве расходов (в том числе расходов на капитальный ремонт и (или) на содержание имущества), связанных с инвестиционной недвижимостью, при этом доходы от платы за пользование таким имуществом (арендной платы) и (или) от увеличения стоимости такого имущества отражены в финансовом результате отчетного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суммы, признанные в качестве расходов (в том числе расходов на капитальный ремонт и (или) на содержание имущества), связанных с владением и (или) пользованием инвестиционной недвижимостью, по которой в отчетном периоде не получены доходы от платы за пользование таким имуществом (арендной платы) и (или) от увеличения стоимости такого имущества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наличие ограничений в отношении возможности продажи объектов инвестиционной недвижимости или поступлений экономических выгод (доходов) от выбытия, а также суммы указанных ограничений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объектов недвижимости, полученных по договорам аренды (имущественного найма) либо договорам безвозмездного пользования, признанных в бухгалтерском учете в составе основных средств: об объектах инвестиционной недвижимости, полученных по договорам аренды (имущественного найма) либо по договорам безвозмездного пользования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объектов недвижимости, полученных по договорам аренды (имущественного найма) либо договорам безвозмездного пользования, признанных в бухгалтерском учете в составе основных средств: об объектах инвестиционной недвижимости, переданных по договорам аренды (субаренды) (имущественного найма (поднайма) либо по договорам безвозмездного пользования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характере и последствиях изменений в оценках объектов основных средств, оказывающих влияние в отчетном периоде, либо которые будут оказывать влияние в последующие периоды в отношении сроков полезного использования объектов основных средств</w:t>
            </w:r>
          </w:p>
        </w:tc>
      </w:tr>
      <w:tr>
        <w:tc>
          <w:tcPr/>
          <w:p>
            <w:pPr>
              <w:jc w:val="left"/>
            </w:pPr>
            <w:r>
              <w:t xml:space="preserve">Изменений в оценках объектов основных средств в отношении методов начисления амортизации нет.</w:t>
            </w:r>
          </w:p>
        </w:tc>
      </w:tr>
      <w:tr>
        <w:tc>
          <w:tcPr/>
          <w:p>
            <w:pPr>
              <w:pStyle w:val="Compact"/>
            </w:pPr>
          </w:p>
        </w:tc>
      </w:tr>
      <w:tr>
        <w:tc>
          <w:tcPr/>
          <w:p>
            <w:pPr>
              <w:jc w:val="left"/>
            </w:pPr>
            <w:r>
              <w:rPr>
                <w:bCs/>
                <w:b/>
              </w:rPr>
              <w:t xml:space="preserve">Информация о характере и последствиях изменений в оценках объектов основных средств, оказывающих влияние в отчетном периоде, либо которые будут оказывать влияние в последующие периоды в отношении методов начисления амортизации объектов основных средств</w:t>
            </w:r>
          </w:p>
        </w:tc>
      </w:tr>
      <w:tr>
        <w:tc>
          <w:tcPr/>
          <w:p>
            <w:pPr>
              <w:jc w:val="left"/>
            </w:pPr>
            <w:r>
              <w:t xml:space="preserve">Изменений в оценках объектов основных средств в отношении методов начисления амортизации нет.</w:t>
            </w:r>
          </w:p>
        </w:tc>
      </w:tr>
      <w:tr>
        <w:tc>
          <w:tcPr/>
          <w:p>
            <w:pPr>
              <w:pStyle w:val="Compact"/>
            </w:pPr>
          </w:p>
        </w:tc>
      </w:tr>
      <w:tr>
        <w:tc>
          <w:tcPr/>
          <w:p>
            <w:pPr>
              <w:jc w:val="left"/>
            </w:pPr>
            <w:r>
              <w:rPr>
                <w:bCs/>
                <w:b/>
              </w:rPr>
              <w:t xml:space="preserve">Информация о балансовой стоимости и остаточной стоимости временно неэксплуатируемых (неиспользуемых) объектов основных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балансовой стоимости объектов основных средств, находящихся в эксплуатации и имеющих нулевую остаточную стоимость</w:t>
            </w:r>
          </w:p>
        </w:tc>
      </w:tr>
      <w:tr>
        <w:tc>
          <w:tcPr/>
          <w:p>
            <w:pPr>
              <w:jc w:val="left"/>
            </w:pPr>
            <w:r>
              <w:t xml:space="preserve">Балансовая стоимость основных средств, находящихся в эксплуатации и имеющих нулевую остаточную стоимость составляет 20 840 075,91руб.</w:t>
            </w:r>
          </w:p>
        </w:tc>
      </w:tr>
      <w:tr>
        <w:tc>
          <w:tcPr/>
          <w:p>
            <w:pPr>
              <w:pStyle w:val="Compact"/>
            </w:pPr>
          </w:p>
        </w:tc>
      </w:tr>
      <w:tr>
        <w:tc>
          <w:tcPr/>
          <w:p>
            <w:pPr>
              <w:jc w:val="left"/>
            </w:pPr>
            <w:r>
              <w:rPr>
                <w:bCs/>
                <w:b/>
              </w:rPr>
              <w:t xml:space="preserve">Информация о балансовой стоимости и остаточной стоимости объектов основных средств, изъятых из эксплуатации или удерживаемых до их выбытия</w:t>
            </w:r>
          </w:p>
        </w:tc>
      </w:tr>
      <w:tr>
        <w:tc>
          <w:tcPr/>
          <w:p>
            <w:pPr>
              <w:jc w:val="left"/>
            </w:pPr>
            <w:r>
              <w:t xml:space="preserve">По состоянию на 01.01.2021 год изъятые из эксплуатации объекты основных средств, в отношении которых принято решение о списании(прекращении эксплуатации), в том числе в связи с физическим или моральным износом и невозможностью или нецелесообразностью ихдальнейшего использования утилизированы.</w:t>
            </w:r>
          </w:p>
        </w:tc>
      </w:tr>
      <w:tr>
        <w:tc>
          <w:tcPr/>
          <w:p>
            <w:pPr>
              <w:pStyle w:val="Compact"/>
            </w:pPr>
          </w:p>
        </w:tc>
      </w:tr>
      <w:tr>
        <w:tc>
          <w:tcPr/>
          <w:p>
            <w:pPr>
              <w:jc w:val="left"/>
            </w:pPr>
            <w:r>
              <w:rPr>
                <w:bCs/>
                <w:b/>
              </w:rPr>
              <w:t xml:space="preserve">Информация, раскрываемая по каждой группе активов, о сумме убытков от обесценения актива, признанной в течение периода в составе расходов, и статьях отчетности, в которые включены эти убытки от обесценения актива</w:t>
            </w:r>
          </w:p>
        </w:tc>
      </w:tr>
      <w:tr>
        <w:tc>
          <w:tcPr/>
          <w:p>
            <w:pPr>
              <w:jc w:val="left"/>
            </w:pPr>
            <w:r>
              <w:t xml:space="preserve">Обесценение активов в 2019 году не осуществлялось</w:t>
            </w:r>
          </w:p>
        </w:tc>
      </w:tr>
      <w:tr>
        <w:tc>
          <w:tcPr/>
          <w:p>
            <w:pPr>
              <w:pStyle w:val="Compact"/>
            </w:pPr>
          </w:p>
        </w:tc>
      </w:tr>
      <w:tr>
        <w:tc>
          <w:tcPr/>
          <w:p>
            <w:pPr>
              <w:jc w:val="left"/>
            </w:pPr>
            <w:r>
              <w:rPr>
                <w:bCs/>
                <w:b/>
              </w:rPr>
              <w:t xml:space="preserve">Информация, раскрываемая по каждой группе активов, о сумме восстановленного убытка от обесценения актива, признанной в течение периода в составе доходов, и статьях отчетности, по которым эти убытки от обесценения актива были восстановлены</w:t>
            </w:r>
          </w:p>
        </w:tc>
      </w:tr>
      <w:tr>
        <w:tc>
          <w:tcPr/>
          <w:p>
            <w:pPr>
              <w:jc w:val="left"/>
            </w:pPr>
            <w:r>
              <w:t xml:space="preserve">В 2020 году операции по восстановлению убытка от обесценения актива не осуществлялось</w:t>
            </w:r>
          </w:p>
        </w:tc>
      </w:tr>
      <w:tr>
        <w:tc>
          <w:tcPr/>
          <w:p>
            <w:pPr>
              <w:pStyle w:val="Compact"/>
            </w:pPr>
          </w:p>
        </w:tc>
      </w:tr>
      <w:tr>
        <w:tc>
          <w:tcPr/>
          <w:p>
            <w:pPr>
              <w:jc w:val="left"/>
            </w:pPr>
            <w:r>
              <w:rPr>
                <w:bCs/>
                <w:b/>
              </w:rPr>
              <w:t xml:space="preserve">Информация, раскрываемая по суммам убытка от обесценения актива, признанного или восстановленного в течение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раскрываемая о событиях и обстоятельствах, которые привели к признанию или восстановлению убытка от обесценения актива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группе, к которой относится актив, по которому начислен убыток от обесценения актива, признанный или восстановленный в течение периода (если предоставление такой информации предусмотрено нормативными правовыми актами, регулирующими ведение бухгалтерского учета и составление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методах, использованных для определения справедливой стоимости при проведении теста на обесценение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единице, генерирующей денежные потоки</w:t>
            </w:r>
          </w:p>
        </w:tc>
      </w:tr>
      <w:tr>
        <w:tc>
          <w:tcPr/>
          <w:p>
            <w:pPr>
              <w:jc w:val="left"/>
            </w:pPr>
            <w:r>
              <w:t xml:space="preserve">Возможности обособить денежный поток, возникающий в результате использования наименьшей идентифицируемой группы активов, пригодной для получения положительных денежных потоков, из общего денежного потока, полученного в рамках деятельности, нет. Соответственно нет возможности идентифицировать единицу, генерирующую денежные потоки (единица ГДП).</w:t>
            </w:r>
          </w:p>
        </w:tc>
      </w:tr>
      <w:tr>
        <w:tc>
          <w:tcPr/>
          <w:p>
            <w:pPr>
              <w:pStyle w:val="Compact"/>
            </w:pPr>
          </w:p>
        </w:tc>
      </w:tr>
      <w:tr>
        <w:tc>
          <w:tcPr/>
          <w:p>
            <w:pPr>
              <w:jc w:val="left"/>
            </w:pPr>
            <w:r>
              <w:rPr>
                <w:bCs/>
                <w:b/>
              </w:rPr>
              <w:t xml:space="preserve">Раскрытие информации по совокупным убыткам от обесценения актива и совокупному восстановлению убытка от обесценения актива, признанным в течение отчетного периода в части отражения данных об основных группах активов, на которые влияют убытки от обесценения актива, и основных группах активов, на которые влияют восстановления убытков от обесценения актива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Раскрытие информации по совокупным убыткам от обесценения актива и совокупному восстановлению убытка от обесценения актива, признанным в течение отчетного периода в части отражения основных событий и обстоятельств, которые привели к признанию этих убытков от обесценения актива и их восстановлению</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увеличения дебиторской и кредиторской задолженности, в том числе просроченной, по состоянию на отчетную дату в сравнении с данными за аналогичный отчетный период прошлого финансового года</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Анализ остатков дебиторской (кредиторской) задолженности, в том числе просроченной на конец отчетного периода (на основании ф.0503169).</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Информация об отсутствии в отчете показателей просроченной дебиторской (кредиторской) задолженности, а также отсутствии показателей по недостачам и хищениям</w:t>
            </w:r>
          </w:p>
        </w:tc>
      </w:tr>
      <w:tr>
        <w:tc>
          <w:tcPr/>
          <w:p>
            <w:pPr>
              <w:jc w:val="left"/>
            </w:pPr>
            <w:r>
              <w:t xml:space="preserve">Показатели просроченной дебиторской (кредиторской) задолженности, а также показатели по недостчам и хищениям отсутствуют.</w:t>
            </w:r>
          </w:p>
        </w:tc>
      </w:tr>
      <w:tr>
        <w:tc>
          <w:tcPr/>
          <w:p>
            <w:pPr>
              <w:pStyle w:val="Compact"/>
            </w:pPr>
          </w:p>
        </w:tc>
      </w:tr>
      <w:tr>
        <w:tc>
          <w:tcPr/>
          <w:p>
            <w:pPr>
              <w:jc w:val="left"/>
            </w:pPr>
            <w:r>
              <w:rPr>
                <w:bCs/>
                <w:b/>
              </w:rPr>
              <w:t xml:space="preserve">Анализ увеличения (уменьшения) показателей финансовых вложений в сравнении с показателями на начало года (на основании ф.0503171). Причины наличия показателей (не нулевых) незавершенных финансовых вложений (в графе 2 Сведений (ф. 0503171)</w:t>
            </w:r>
          </w:p>
        </w:tc>
      </w:tr>
      <w:tr>
        <w:tc>
          <w:tcPr/>
          <w:p>
            <w:pPr>
              <w:jc w:val="left"/>
            </w:pPr>
            <w:r>
              <w:t xml:space="preserve">За отчетный период данные о финансовых вложениях и вложениях в финансовые активы учреждения отсутствуют</w:t>
            </w:r>
          </w:p>
        </w:tc>
      </w:tr>
      <w:tr>
        <w:tc>
          <w:tcPr/>
          <w:p>
            <w:pPr>
              <w:pStyle w:val="Compact"/>
            </w:pPr>
          </w:p>
        </w:tc>
      </w:tr>
      <w:tr>
        <w:tc>
          <w:tcPr/>
          <w:p>
            <w:pPr>
              <w:jc w:val="left"/>
            </w:pPr>
            <w:r>
              <w:rPr>
                <w:bCs/>
                <w:b/>
              </w:rPr>
              <w:t xml:space="preserve">Анализ увеличения (уменьшения) показателей государственного долга в сравнении с показателями на начало года (на основании ф.0503172)</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долговым обязательствам, классифицированным в бухгалтерской (финансовой) отчетности как краткосрочные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рефинансирование на долгосрочный период</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устранение нарушения соглашения о долгосрочном финансировании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получение от кредитора отсрочки исполнения обязательств на период, оканчивающийся не ранее чем через 12 месяцев после отчетной даты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об изменении остатков валюты баланса отраженная в ф.0503173</w:t>
            </w:r>
          </w:p>
        </w:tc>
      </w:tr>
      <w:tr>
        <w:tc>
          <w:tcPr/>
          <w:p>
            <w:pPr>
              <w:jc w:val="left"/>
            </w:pPr>
            <w:r>
              <w:t xml:space="preserve">Информация отсутствует.</w:t>
            </w:r>
          </w:p>
        </w:tc>
      </w:tr>
      <w:tr>
        <w:tc>
          <w:tcPr/>
          <w:p>
            <w:pPr>
              <w:pStyle w:val="Compact"/>
            </w:pPr>
          </w:p>
        </w:tc>
      </w:tr>
      <w:tr>
        <w:tc>
          <w:tcPr/>
          <w:p>
            <w:pPr>
              <w:jc w:val="left"/>
            </w:pPr>
            <w:r>
              <w:rPr>
                <w:bCs/>
                <w:b/>
              </w:rPr>
              <w:t xml:space="preserve">Анализ показателей по доходам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(на основании ф.0503174) (причины наличия или отсутствия задолженности на конец отчетного периода, причины отклонений количества предприятий и организаций, отраженных в форме 0503174 от формы 0503171), в том числе анализ отклонений количества предприятий и организаций, отраженных в ф.0503171 и ф.0503174 с расшифровкой по ГУП и АО</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раскрывающая причины неисполнения бюджетных и денежных обязательств по показателям ф.0503175 с кодами причин неисполнения «75» и «99» (иные причины)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(целях) открытия счетов в кредитных организациях, о причинах образования остатка денежных средств на счетах, а также обоснование необходимости наличия банковских счетов в случае отсутствия по ним операций в течении 2-х и более лет (на основании ф.0503178-бюжетная деятельность)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(целях) открытия счетов в кредитных организациях, о причинах образования остатка денежных средств на счетах в кредитной организации (на основании ф.0503178-средства во временном распоряжении)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Анализ увеличения (уменьшения) показателей вложений в объекты недвижимого имущества, в объекты незавершенного строительства с показателями на начало года, информация о результатах проведения инвентаризации капитальных вложений, другая существенная информация (на основании ф.0503190)</w:t>
            </w:r>
          </w:p>
        </w:tc>
      </w:tr>
      <w:tr>
        <w:tc>
          <w:tcPr/>
          <w:p>
            <w:pPr>
              <w:jc w:val="left"/>
            </w:pPr>
            <w:r>
              <w:t xml:space="preserve">Вложения в объекты недвижимости в отчетном году не проводились, объектов незавершенного сторительства нет</w:t>
            </w:r>
          </w:p>
        </w:tc>
      </w:tr>
      <w:tr>
        <w:tc>
          <w:tcPr/>
          <w:p>
            <w:pPr>
              <w:pStyle w:val="Compact"/>
            </w:pPr>
          </w:p>
        </w:tc>
      </w:tr>
      <w:tr>
        <w:tc>
          <w:tcPr/>
          <w:p>
            <w:pPr>
              <w:jc w:val="left"/>
            </w:pPr>
            <w:r>
              <w:rPr>
                <w:bCs/>
                <w:b/>
              </w:rPr>
              <w:t xml:space="preserve">Характеристика вложений в объекты недвижимого имущества, в объекты незавершенного строительства, отраженных в ф.0503190 по кодам статуса объекта - 05 «иной статус объекта» и 28 «иное основание выбытия», а так же по коду целевой функции объекта - 12 «иная целевая функция»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раскрывающая показатели ф.0503123 «Отчет о движении денежных средств»</w:t>
            </w:r>
          </w:p>
        </w:tc>
      </w:tr>
      <w:tr>
        <w:tc>
          <w:tcPr/>
          <w:p>
            <w:pPr>
              <w:jc w:val="left"/>
            </w:pPr>
            <w:r>
              <w:t xml:space="preserve">Движение денежных средств на лицевом счете учреждения, открытого в финансовом органе, раскрыта в форме 0503123, иной информации нет.</w:t>
            </w:r>
          </w:p>
        </w:tc>
      </w:tr>
      <w:tr>
        <w:tc>
          <w:tcPr/>
          <w:p>
            <w:pPr>
              <w:pStyle w:val="Compact"/>
            </w:pPr>
          </w:p>
        </w:tc>
      </w:tr>
      <w:tr>
        <w:tc>
          <w:tcPr/>
          <w:p>
            <w:pPr>
              <w:jc w:val="left"/>
            </w:pPr>
            <w:r>
              <w:rPr>
                <w:bCs/>
                <w:b/>
              </w:rPr>
              <w:t xml:space="preserve">Раскрытие информации о суммах денежных потоков между субъектом отчетности и организацией (при условии если доля участия субъекта отчетности в капитале (имуществе) организации составляет более 20 процентов голосующих акций (долей, паев, вкладов)), по направлениям поступлений и выбытий денежных средств, перечисленным в Федеральном стандарте «Отчет о движении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на основании учетной политики: используемые подходы для определения структуры денежных средств и эквивалентов денежных средств, классификации денежных потоков, не указанных в Федеральном стандарте «Отчет о движении денежных средств», осуществления пересчета в рубли величины денежных потоков в иностранной валюте, а также другие пояснения, необходимые для понимания информации, представленной в Отчете о движении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Состав денежных средств и эквивалентов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сверке сумм денежных средств и эквивалентов денежных средств, отраженных в Отчете о движении денежных средств, со статьей «Денежные средства и эквиваленты денежных средств» бухгалтерского баланса и иных отчетов, содержащих информацию об остатках и изменениях денежных средств и эквивалентов денежных средств</w:t>
            </w:r>
          </w:p>
        </w:tc>
      </w:tr>
      <w:tr>
        <w:tc>
          <w:tcPr/>
          <w:p>
            <w:pPr>
              <w:jc w:val="left"/>
            </w:pPr>
            <w:r>
              <w:t xml:space="preserve">Сверка показателей осуществлена на основании установленных междокументных контрольных соотношений. Пояснение отклонений отражено в Разделе 5.2. настоящей Пояснительной записки.</w:t>
            </w:r>
          </w:p>
        </w:tc>
      </w:tr>
      <w:tr>
        <w:tc>
          <w:tcPr/>
          <w:p>
            <w:pPr>
              <w:pStyle w:val="Compact"/>
            </w:pPr>
          </w:p>
        </w:tc>
      </w:tr>
      <w:tr>
        <w:tc>
          <w:tcPr/>
          <w:p>
            <w:pPr>
              <w:jc w:val="left"/>
            </w:pPr>
            <w:r>
              <w:rPr>
                <w:bCs/>
                <w:b/>
              </w:rPr>
              <w:t xml:space="preserve">Сверка итоговых показателей Отчета о движении денежных средств с показателями Отчета об исполнении бюджета</w:t>
            </w:r>
          </w:p>
        </w:tc>
      </w:tr>
      <w:tr>
        <w:tc>
          <w:tcPr/>
          <w:p>
            <w:pPr>
              <w:jc w:val="left"/>
            </w:pPr>
            <w:r>
              <w:t xml:space="preserve">Сверка показателей осуществлена на основании установленных междокументных контрольных соотношений. Пояснение отклонений отражено в Разделе 5.2. настоящей Пояснительной записки.</w:t>
            </w:r>
          </w:p>
        </w:tc>
      </w:tr>
      <w:tr>
        <w:tc>
          <w:tcPr/>
          <w:p>
            <w:pPr>
              <w:pStyle w:val="Compact"/>
            </w:pPr>
          </w:p>
        </w:tc>
      </w:tr>
      <w:tr>
        <w:tc>
          <w:tcPr/>
          <w:p>
            <w:pPr>
              <w:jc w:val="left"/>
            </w:pPr>
            <w:r>
              <w:rPr>
                <w:bCs/>
                <w:b/>
              </w:rPr>
              <w:t xml:space="preserve">Сверка суммы денежных потоков от текущих операций, представленной в Отчете о движении денежных средств, и чистого операционного результата, отраженного в Отчете о финансовых результатах деятельности</w:t>
            </w:r>
          </w:p>
        </w:tc>
      </w:tr>
      <w:tr>
        <w:tc>
          <w:tcPr/>
          <w:p>
            <w:pPr>
              <w:jc w:val="left"/>
            </w:pPr>
            <w:r>
              <w:t xml:space="preserve">Сверка показателей осуществлена на основании установленных междокументных контрольных соотношений. Пояснение отклонений отражено в Разделе 5.2. настоящей Пояснительной записки.</w:t>
            </w:r>
          </w:p>
        </w:tc>
      </w:tr>
      <w:tr>
        <w:tc>
          <w:tcPr/>
          <w:p>
            <w:pPr>
              <w:pStyle w:val="Compact"/>
            </w:pPr>
          </w:p>
        </w:tc>
      </w:tr>
      <w:tr>
        <w:tc>
          <w:tcPr/>
          <w:p>
            <w:pPr>
              <w:jc w:val="left"/>
            </w:pPr>
            <w:r>
              <w:rPr>
                <w:bCs/>
                <w:b/>
              </w:rPr>
              <w:t xml:space="preserve">Информация в отношении каждого приобретения или продажи организации, доля участия субъекта отчетности в капитале (имуществе) которой составляет более 50 процентов голосующих акций (долей, паев, вкладов) - общая сумма дохода или расхода от операции приобретения или продажи организации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каждого приобретения или продажи организации, доля участия субъекта отчетности в капитале (имуществе) которой составляет более 50 процентов голосующих акций (долей, паев, вкладов) - сумма денежных потоков, полученных или уплаченных от операции приобретения или продажи организации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остаткам отраженным по счету бюджетного учета 120134000 «Касса»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остаткам отраженным по счету бюджетного учета 120135000 «Денежные документы» (на основании ф.0503130)</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раскрывающая показатели ф.0503130</w:t>
            </w:r>
          </w:p>
        </w:tc>
      </w:tr>
      <w:tr>
        <w:tc>
          <w:tcPr/>
          <w:p>
            <w:pPr>
              <w:jc w:val="left"/>
            </w:pPr>
            <w:r>
              <w:t xml:space="preserve">Вся информация, раскрывающие показатели, показана в 0503130</w:t>
            </w:r>
          </w:p>
        </w:tc>
      </w:tr>
      <w:tr>
        <w:tc>
          <w:tcPr/>
          <w:p>
            <w:pPr>
              <w:pStyle w:val="Compact"/>
            </w:pPr>
          </w:p>
        </w:tc>
      </w:tr>
      <w:tr>
        <w:tc>
          <w:tcPr/>
          <w:p>
            <w:pPr>
              <w:jc w:val="left"/>
            </w:pPr>
            <w:r>
              <w:rPr>
                <w:bCs/>
                <w:b/>
              </w:rPr>
              <w:t xml:space="preserve">Информация по счету бюджетного учета 140140ХХХ в разрезе КОСГУ</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Информация по счету бюджетного учета 140150ХХХ в разрезе КОСГУ</w:t>
            </w:r>
          </w:p>
        </w:tc>
      </w:tr>
      <w:tr>
        <w:tc>
          <w:tcPr/>
          <w:p>
            <w:pPr>
              <w:jc w:val="left"/>
            </w:pPr>
            <w:r>
              <w:t xml:space="preserve">Информация представлена в приложении к Пояснительной записке «Расшифровка показателей по счету 1 401 50 000 «Расходы будущих периодов»,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140160ХХХ в разрезе КОСГУ</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Расшифровка показателей по забалансовому счету 01 «Имущество, полученное в пользование»</w:t>
            </w:r>
          </w:p>
        </w:tc>
      </w:tr>
      <w:tr>
        <w:tc>
          <w:tcPr/>
          <w:p>
            <w:pPr>
              <w:jc w:val="left"/>
            </w:pPr>
            <w:r>
              <w:t xml:space="preserve">За управой Красносельского района города Москвы на праве оперативного управления закреплены:1.107045, Москва, Сретенка ул, дом № 24/2, строение1 -нежилое помещение площадью 96,3 кв.м 1 этаж, для Досуговых Услуг; 2. 107078, Москва г, Маши Порываевой ул, дом № 38- нежилое помещение площадью358,5 кв.м, ; 3.107078, Москва г, Садовая-Спасская ул, дом № 19, корпус 1-нежилое помещение 2 этаж, помещение II ,комнаты1-14; для Досуговых Услуг; 4.105066, Москва г, Красносельская Нижн. ул, дом № 21-нежилое помещение площадью 29,0 кв.м для ОПОП; 5. 129090, Москва г, Каланчевская ул, дом № 47- нежилое помещение площадью 60,9кв.м для ОПОП ; 6.129090, Москва г, Коптельский 1-й пер, дом № 20-нежилое помещение площадью 66,4кв.м для совета ветеранов ; 7. 107140, Москва г, Красносельский 3-й пер, дом № 6-нежилое помещение площадью 19,1 кв м для ОПОП; 8. Москва г, Сретенский б, дом № 6/1, корпус 2-нежилое помещение площадью 27,1 кв м для СВ; 9. Москва, ул. Садовая-Спасская,21/1 для СВ,</w:t>
            </w:r>
          </w:p>
        </w:tc>
      </w:tr>
      <w:tr>
        <w:tc>
          <w:tcPr/>
          <w:p>
            <w:pPr>
              <w:pStyle w:val="Compact"/>
            </w:pPr>
          </w:p>
        </w:tc>
      </w:tr>
      <w:tr>
        <w:tc>
          <w:tcPr/>
          <w:p>
            <w:pPr>
              <w:jc w:val="left"/>
            </w:pPr>
            <w:r>
              <w:rPr>
                <w:bCs/>
                <w:b/>
              </w:rPr>
              <w:t xml:space="preserve">Расшифровка показателей по забалансовому счету 02 «Материальные ценности на хранении»</w:t>
            </w:r>
          </w:p>
        </w:tc>
      </w:tr>
      <w:tr>
        <w:tc>
          <w:tcPr/>
          <w:p>
            <w:pPr>
              <w:jc w:val="left"/>
            </w:pPr>
            <w:r>
              <w:t xml:space="preserve">По состоянию на 01.01.2020г. на забалансовом счете 02 "Материальные ценности на хранении" числится имущество,переданное во временное пользование -43,00 руб.</w:t>
            </w:r>
          </w:p>
        </w:tc>
      </w:tr>
      <w:tr>
        <w:tc>
          <w:tcPr/>
          <w:p>
            <w:pPr>
              <w:pStyle w:val="Compact"/>
            </w:pPr>
          </w:p>
        </w:tc>
      </w:tr>
      <w:tr>
        <w:tc>
          <w:tcPr/>
          <w:p>
            <w:pPr>
              <w:jc w:val="left"/>
            </w:pPr>
            <w:r>
              <w:rPr>
                <w:bCs/>
                <w:b/>
              </w:rPr>
              <w:t xml:space="preserve">Расшифровка показателей по забалансовому счету 03 «Бланки строгой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04 «Сомнительная задолженность»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05 «Материальные ценности, оплаченные по централизованному снабжению»</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06 «Задолженность учащихся и студентов за невозвращенные материальные ценности»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07 «Награды, призы, кубки и ценные подарки, сувениры»</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08 «Путевки неоплаченные»</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09 «Запасные части к транспортным средствам, выданные взамен изношенных»</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10 «Обеспечение исполнения обязательств»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11 «Государственные и муниципальные гарантии»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12 «Спецоборудование для выполнения научно-исследовательских работ по договорам с заказчиками»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13 «Экспериментальные устройства»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14 «Расчетные документы, ожидающие исполнения»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16 «Переплаты пенсий и пособий вследствие неправильного применения законодательства о пенсиях и пособиях, счетных ошибок»</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17 «Поступления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18 «Выбытия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19 «Невыясненные поступления прошлых лет»</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20 «Задолженность, невостребованная кредиторами»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21 «Основные средства в эксплуатации»</w:t>
            </w:r>
          </w:p>
        </w:tc>
      </w:tr>
      <w:tr>
        <w:tc>
          <w:tcPr/>
          <w:p>
            <w:pPr>
              <w:jc w:val="left"/>
            </w:pPr>
            <w:r>
              <w:t xml:space="preserve">По итогам на 01.01.2021 на забалансовом счете 21 Основные средства в эксплуатации числится ОС на сумму 595 574.00руб.</w:t>
            </w:r>
          </w:p>
        </w:tc>
      </w:tr>
      <w:tr>
        <w:tc>
          <w:tcPr/>
          <w:p>
            <w:pPr>
              <w:pStyle w:val="Compact"/>
            </w:pPr>
          </w:p>
        </w:tc>
      </w:tr>
      <w:tr>
        <w:tc>
          <w:tcPr/>
          <w:p>
            <w:pPr>
              <w:jc w:val="left"/>
            </w:pPr>
            <w:r>
              <w:rPr>
                <w:bCs/>
                <w:b/>
              </w:rPr>
              <w:t xml:space="preserve">Расшифровка показателей по забалансовому счету 22 «Материальные ценности, полученные по централизованному снабжению»</w:t>
            </w:r>
          </w:p>
        </w:tc>
      </w:tr>
      <w:tr>
        <w:tc>
          <w:tcPr/>
          <w:p>
            <w:pPr>
              <w:jc w:val="left"/>
            </w:pPr>
            <w:r>
              <w:t xml:space="preserve">По состоянию на 01.01.2021г по забалансовому счету 22 "Материальные ценности, полученные по централизованному снабжению" числится ОС на сумму- 248420.00руб.</w:t>
            </w:r>
          </w:p>
        </w:tc>
      </w:tr>
      <w:tr>
        <w:tc>
          <w:tcPr/>
          <w:p>
            <w:pPr>
              <w:pStyle w:val="Compact"/>
            </w:pPr>
          </w:p>
        </w:tc>
      </w:tr>
      <w:tr>
        <w:tc>
          <w:tcPr/>
          <w:p>
            <w:pPr>
              <w:jc w:val="left"/>
            </w:pPr>
            <w:r>
              <w:rPr>
                <w:bCs/>
                <w:b/>
              </w:rPr>
              <w:t xml:space="preserve">Расшифровка показателей по забалансовому счету 23 «Периодические издания для пользования»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24 «Нефинансовые активы, переданные в доверительное управление»</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25 «Имущество, переданное в возмездное пользование (аренду)»</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26 «Имущество, переданное в безвозмездное пользование»</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27 «Материальные ценности, выданные в личное пользование работникам (сотрудникам)»</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29 «Представленные субсидии на приобретение жилья»</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30 «Расчеты по исполнению денежных обязательств через третьих лиц»</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31 «Акции по номинальной стоимости»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40 «Финансовые активы в управляющих компаниях»</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42 «Бюджетные инвестиции, реализуемые организациями»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счету бюджетного учета 140110171</w:t>
            </w:r>
          </w:p>
        </w:tc>
      </w:tr>
      <w:tr>
        <w:tc>
          <w:tcPr/>
          <w:p>
            <w:pPr>
              <w:jc w:val="left"/>
            </w:pPr>
            <w:r>
              <w:t xml:space="preserve">Информация представлена в приложении к Пояснительной записке «Расшифровка показателей по счету 1 401 10 171 «Доходы от переоценки активов и обязательств»,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140110173</w:t>
            </w:r>
          </w:p>
        </w:tc>
      </w:tr>
      <w:tr>
        <w:tc>
          <w:tcPr/>
          <w:p>
            <w:pPr>
              <w:jc w:val="left"/>
            </w:pPr>
            <w:r>
              <w:t xml:space="preserve">Информация представлена в приложении к Пояснительной записке «Расшифровка показателей по счету 1 401 10 173 «Чрезвычайные доходы от операций с активами»,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140110180</w:t>
            </w:r>
          </w:p>
        </w:tc>
      </w:tr>
      <w:tr>
        <w:tc>
          <w:tcPr/>
          <w:p>
            <w:pPr>
              <w:jc w:val="left"/>
            </w:pPr>
            <w:r>
              <w:t xml:space="preserve">Информация представлена в приложении к Пояснительной записке «Расшифровка показателей по счету 1 401 10 180 «Прочие доходы»,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140110190</w:t>
            </w:r>
          </w:p>
        </w:tc>
      </w:tr>
      <w:tr>
        <w:tc>
          <w:tcPr/>
          <w:p>
            <w:pPr>
              <w:jc w:val="left"/>
            </w:pPr>
            <w:r>
              <w:t xml:space="preserve">Информация представлена в приложении к Пояснительной записке «Расшифровка показателей по счету 1 401 10 190 «Безвозмездные неденежные поступления в сектор государственного управления»,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140120273</w:t>
            </w:r>
          </w:p>
        </w:tc>
      </w:tr>
      <w:tr>
        <w:tc>
          <w:tcPr/>
          <w:p>
            <w:pPr>
              <w:jc w:val="left"/>
            </w:pPr>
            <w:r>
              <w:t xml:space="preserve">Информация представлена в приложении к Пояснительной записке «Расшифровка показателей по счету 1 401 20 273 «Чрезвычайные расходы по операциям с активами»,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отражающая характер реклассификации показателей отчетности субъектом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отражающая стоимостные показатели отчетности, подлежащие реклассификации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отражающая причины реклассификации показателей отчетности</w:t>
            </w:r>
          </w:p>
        </w:tc>
      </w:tr>
      <w:tr>
        <w:tc>
          <w:tcPr/>
          <w:p>
            <w:pPr>
              <w:jc w:val="left"/>
            </w:pPr>
            <w:r>
              <w:t xml:space="preserve">Приказ Минфина России от 31 марта 2018 г. N 64н"О внесении изменений в приложения N 1 и N 2 к приказу Министерства финансов Российской Федерации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tc>
      </w:tr>
      <w:tr>
        <w:tc>
          <w:tcPr/>
          <w:p>
            <w:pPr>
              <w:pStyle w:val="Compact"/>
            </w:pPr>
          </w:p>
        </w:tc>
      </w:tr>
      <w:tr>
        <w:tc>
          <w:tcPr/>
          <w:p>
            <w:pPr>
              <w:jc w:val="left"/>
            </w:pPr>
            <w:r>
              <w:rPr>
                <w:bCs/>
                <w:b/>
              </w:rPr>
              <w:t xml:space="preserve">Отражение причин, по которым не производилась реклассификация показателей отчетности, при условии, если реклассификация показателей отчетности за предыдущий отчетный период субъектом отчетности не осуществлялась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Отражение характера корректировок показателей бухгалтерской (финансовой) отчетности, которые были бы произведены в случае реклассификации показателей отчетности, при условии, если реклассификация показателей отчетности за предыдущий отчетный период субъектом отчетности не осуществлялась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сверке на отчетную дату общей суммы арендных платежей с общей суммой их дисконтированных стоимостей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общей сумме процентных доходов и процентных расходов, признанных за отчетный период</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произведенной сверке на отчетную дату общей суммы арендных платежей с общей суммой их дисконтированных стоимостей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общей сумме процентных доходов и процентных расходов, признанных за отчетный период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произведенной сверке на отчетную, показателей общей суммы арендных платежей (в том числе по договорам о субаренде (поднайма) с общей суммой их дисконтированных стоимостей по группам объектов учета аренды, сформированным исходя из их сроков полезного использования - до одного года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произведенной сверке на отчетную дату, показателей общей суммы арендных платежей (в том числе по договорам о субаренде (поднайма) с общей суммой их дисконтированных стоимостей по группам объектов учета аренды, сформированным исходя из их сроков полезного использования - от одного года до трех лет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произведенной сверке на отчетную дату, показателей общей суммы арендных платежей (в том числе по договорам о субаренде (поднайма) с общей суммой их дисконтированных стоимостей по группам объектов учета аренды, сформированным исходя из их сроков полезного использования - свыше трех лет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общей сумме расходов (доходов) по условным арендным платежам, признанных в отчетном периоде в качестве расходов (доходов) текущего финансового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наличии условий продления срока пользования имуществом, условий о праве покупки (выкупа) используемого имущества (объекта учета аренды), а также положений о повышении арендных платежей, в том числе цены выкупа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основных принципах определения расходов (доходов) по условным арендным платежам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любых ограничениях, предусмотренных договором аренды (имущественного найма) или договором безвозмездного пользования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оказавшая существенное влияние и характеризующая показатели бюджетной отчетности за отчетный период, не нашедшая отражения формах отчетов, таблицах и приложениях, включаемых в раздел</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остаткам отраженным по счету бюджетного учета 120135000 «Денежные документы» (на основании ф.0503120)</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отраженная в ф.0503120</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показателям, отраженным со знаком «минус» в ф.0503169 по увеличению и (или) уменьшению дебиторской (кредиторской) задолженности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применяемом методе пересчета стоимости объектов бухгалтерского учета загранучреждения и дополнительно (при наличии) о его изменении относительно предыдущего отчетного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доходах в разрезе групп, подгрупп в зависимости от экономического содержания с обособлением сумм предоставленных льгот (скидок)</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доходах от подарков, пожертвований и других безвозмездно полученных ценностей, признанных в текущем отчетном периоде, и характер указанных ценностей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суммах дебиторской задолженности, признанной по необменным операциям</w:t>
            </w:r>
          </w:p>
        </w:tc>
      </w:tr>
      <w:tr>
        <w:tc>
          <w:tcPr/>
          <w:p>
            <w:pPr>
              <w:jc w:val="left"/>
            </w:pPr>
            <w:r>
              <w:t xml:space="preserve">Информация отражена в ф.0503169 по дебиторской задолженности</w:t>
            </w:r>
          </w:p>
        </w:tc>
      </w:tr>
      <w:tr>
        <w:tc>
          <w:tcPr/>
          <w:p>
            <w:pPr>
              <w:pStyle w:val="Compact"/>
            </w:pPr>
          </w:p>
        </w:tc>
      </w:tr>
      <w:tr>
        <w:tc>
          <w:tcPr/>
          <w:p>
            <w:pPr>
              <w:jc w:val="left"/>
            </w:pPr>
            <w:r>
              <w:rPr>
                <w:bCs/>
                <w:b/>
              </w:rPr>
              <w:t xml:space="preserve">Информация о суммах изменений доходов будущих периодов по видам доходов</w:t>
            </w:r>
          </w:p>
        </w:tc>
      </w:tr>
      <w:tr>
        <w:tc>
          <w:tcPr/>
          <w:p>
            <w:pPr>
              <w:jc w:val="left"/>
            </w:pPr>
            <w:r>
              <w:t xml:space="preserve">Информация отражена в ф.0503169 по кредиторской задолженности</w:t>
            </w:r>
          </w:p>
        </w:tc>
      </w:tr>
      <w:tr>
        <w:tc>
          <w:tcPr/>
          <w:p>
            <w:pPr>
              <w:pStyle w:val="Compact"/>
            </w:pPr>
          </w:p>
        </w:tc>
      </w:tr>
      <w:tr>
        <w:tc>
          <w:tcPr/>
          <w:p>
            <w:pPr>
              <w:jc w:val="left"/>
            </w:pPr>
            <w:r>
              <w:rPr>
                <w:bCs/>
                <w:b/>
              </w:rPr>
              <w:t xml:space="preserve">Информация о суммах обязательств по авансовым поступлениям (по доходам)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Пояснение причин несоответствия показателя изменения финансовых активов показателям кассовых расходов по указанным кодам видов расходов и (или) данным о передаче произведенных вложений в финансовые активы (по КОСГУ 530 «Увеличение стоимости акций и иных финансовых инструментов»)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счету бюджетного учета 140110176</w:t>
            </w:r>
          </w:p>
        </w:tc>
      </w:tr>
      <w:tr>
        <w:tc>
          <w:tcPr/>
          <w:p>
            <w:pPr>
              <w:jc w:val="left"/>
            </w:pPr>
            <w:r>
              <w:t xml:space="preserve">Информация представлена в приложении к Пояснительной записке «Расшифровка показателей по счету 1 401 10 176 «Доходы от оценки активов и обязательств», отраженных в Отчете о финансовых результатах деятельности (ф. 0503121) (справочно)»</w:t>
            </w:r>
          </w:p>
        </w:tc>
      </w:tr>
      <w:tr>
        <w:tc>
          <w:tcPr/>
          <w:p>
            <w:pPr>
              <w:pStyle w:val="Compact"/>
            </w:pPr>
          </w:p>
        </w:tc>
      </w:tr>
      <w:tr>
        <w:tc>
          <w:tcPr/>
          <w:p>
            <w:pPr>
              <w:jc w:val="left"/>
            </w:pPr>
            <w:r>
              <w:rPr>
                <w:bCs/>
                <w:b/>
              </w:rPr>
              <w:t xml:space="preserve">Информация о количестве связанных сторон, для следующей группы организаций: коммерческие организации (за исключением государственных (муниципальных) унитарных предприятий), в случае если у субъекта отчетности доля участия в капитале (имуществе) составляет более 50 процентов общего количества голосующих акций (долей, паев, вкладов)</w:t>
            </w:r>
          </w:p>
        </w:tc>
      </w:tr>
      <w:tr>
        <w:tc>
          <w:tcPr/>
          <w:p>
            <w:pPr>
              <w:pStyle w:val="Compact"/>
            </w:pPr>
          </w:p>
        </w:tc>
      </w:tr>
      <w:tr>
        <w:tc>
          <w:tcPr/>
          <w:p>
            <w:pPr>
              <w:pStyle w:val="Compact"/>
            </w:pPr>
          </w:p>
        </w:tc>
      </w:tr>
      <w:tr>
        <w:tc>
          <w:tcPr/>
          <w:p>
            <w:pPr>
              <w:jc w:val="left"/>
            </w:pPr>
            <w:r>
              <w:rPr>
                <w:bCs/>
                <w:b/>
              </w:rPr>
              <w:t xml:space="preserve">Информация о количестве связанных сторон, для следующей группы организаций: некоммерческие организации (за исключением государственных (муниципальных) учреждений), в случае если у субъекта отчетности доля участия в капитале (имуществе) составляет более 50 процентов общего количества голосующих акций (долей, паев, вкладов)</w:t>
            </w:r>
          </w:p>
        </w:tc>
      </w:tr>
      <w:tr>
        <w:tc>
          <w:tcPr/>
          <w:p>
            <w:pPr>
              <w:pStyle w:val="Compact"/>
            </w:pPr>
          </w:p>
        </w:tc>
      </w:tr>
      <w:tr>
        <w:tc>
          <w:tcPr/>
          <w:p>
            <w:pPr>
              <w:pStyle w:val="Compact"/>
            </w:pPr>
          </w:p>
        </w:tc>
      </w:tr>
      <w:tr>
        <w:tc>
          <w:tcPr/>
          <w:p>
            <w:pPr>
              <w:jc w:val="left"/>
            </w:pPr>
            <w:r>
              <w:rPr>
                <w:bCs/>
                <w:b/>
              </w:rPr>
              <w:t xml:space="preserve">Информация об операциях со связанными сторонами: описание характера отношений субъекта отчетности и связанной стороны</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безвозмездное перечисление (передача) активов</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предоставление (получение) кредитов, займов, ссуд</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реализация товаров, выполнение работ, оказание услуг</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операции с иным государственным (муниципальным) имуществом</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прочие операции</w:t>
            </w:r>
          </w:p>
        </w:tc>
      </w:tr>
      <w:tr>
        <w:tc>
          <w:tcPr/>
          <w:p>
            <w:pPr>
              <w:pStyle w:val="Compact"/>
            </w:pPr>
          </w:p>
        </w:tc>
      </w:tr>
      <w:tr>
        <w:tc>
          <w:tcPr/>
          <w:p>
            <w:pPr>
              <w:pStyle w:val="Compact"/>
            </w:pPr>
          </w:p>
        </w:tc>
      </w:tr>
      <w:tr>
        <w:tc>
          <w:tcPr/>
          <w:p>
            <w:pPr>
              <w:jc w:val="left"/>
            </w:pPr>
            <w:r>
              <w:rPr>
                <w:bCs/>
                <w:b/>
              </w:rPr>
              <w:t xml:space="preserve">Описание основных условий операций со связанными сторонами каждого вида с указанием отличий условий таких операций от условий аналогичных фактов хозяйственной жизни (операций) с юридическими (физическими) лицами, которые не являются связанными сторонами субъекта отчетности</w:t>
            </w:r>
          </w:p>
        </w:tc>
      </w:tr>
      <w:tr>
        <w:tc>
          <w:tcPr/>
          <w:p>
            <w:pPr>
              <w:pStyle w:val="Compact"/>
            </w:pPr>
          </w:p>
        </w:tc>
      </w:tr>
      <w:tr>
        <w:tc>
          <w:tcPr/>
          <w:p>
            <w:pPr>
              <w:pStyle w:val="Compact"/>
            </w:pPr>
          </w:p>
        </w:tc>
      </w:tr>
      <w:tr>
        <w:tc>
          <w:tcPr/>
          <w:p>
            <w:pPr>
              <w:jc w:val="left"/>
            </w:pPr>
            <w:r>
              <w:rPr>
                <w:bCs/>
                <w:b/>
              </w:rPr>
              <w:t xml:space="preserve">Информация об объеме операций со связанными сторонами каждого вида в денежном выражении с выделением сумм операций со связанными сторонами, расчеты по которым не завершены, в том числе: описание условий и сроков осуществления (завершения) расчетов по операциям со связанными сторонами, а также формы расчетов</w:t>
            </w:r>
          </w:p>
        </w:tc>
      </w:tr>
      <w:tr>
        <w:tc>
          <w:tcPr/>
          <w:p>
            <w:pPr>
              <w:pStyle w:val="Compact"/>
            </w:pPr>
          </w:p>
        </w:tc>
      </w:tr>
      <w:tr>
        <w:tc>
          <w:tcPr/>
          <w:p>
            <w:pPr>
              <w:pStyle w:val="Compact"/>
            </w:pPr>
          </w:p>
        </w:tc>
      </w:tr>
      <w:tr>
        <w:tc>
          <w:tcPr/>
          <w:p>
            <w:pPr>
              <w:jc w:val="left"/>
            </w:pPr>
            <w:r>
              <w:rPr>
                <w:bCs/>
                <w:b/>
              </w:rPr>
              <w:t xml:space="preserve">Информация об объеме операций со связанными сторонами каждого вида в денежном выражении с выделением сумм операций со связанными сторонами, расчеты по которым не завершены, в том числе: величина образованных резервов по сомнительным долгам на конец отчетного периода</w:t>
            </w:r>
          </w:p>
        </w:tc>
      </w:tr>
      <w:tr>
        <w:tc>
          <w:tcPr/>
          <w:p>
            <w:pPr>
              <w:pStyle w:val="Compact"/>
            </w:pPr>
          </w:p>
        </w:tc>
      </w:tr>
      <w:tr>
        <w:tc>
          <w:tcPr/>
          <w:p>
            <w:pPr>
              <w:pStyle w:val="Compact"/>
            </w:pPr>
          </w:p>
        </w:tc>
      </w:tr>
      <w:tr>
        <w:tc>
          <w:tcPr/>
          <w:p>
            <w:pPr>
              <w:jc w:val="left"/>
            </w:pPr>
            <w:r>
              <w:rPr>
                <w:bCs/>
                <w:b/>
              </w:rPr>
              <w:t xml:space="preserve">Информация об объеме операций со связанными сторонами каждого вида в денежном выражении с выделением сумм операций со связанными сторонами, расчеты по которым не завершены, в том числе: величина списанной дебиторской задолженности, по которой срок исковой давности истек, других долгов, нереальных для взыскания, в том числе за счет резерва по сомнительным долгам</w:t>
            </w:r>
          </w:p>
        </w:tc>
      </w:tr>
      <w:tr>
        <w:tc>
          <w:tcPr/>
          <w:p>
            <w:pPr>
              <w:pStyle w:val="Compact"/>
            </w:pPr>
          </w:p>
        </w:tc>
      </w:tr>
      <w:tr>
        <w:tc>
          <w:tcPr/>
          <w:p>
            <w:pPr>
              <w:pStyle w:val="Compact"/>
            </w:pPr>
          </w:p>
        </w:tc>
      </w:tr>
      <w:tr>
        <w:tc>
          <w:tcPr/>
          <w:p>
            <w:pPr>
              <w:jc w:val="left"/>
            </w:pPr>
            <w:r>
              <w:rPr>
                <w:bCs/>
                <w:b/>
              </w:rPr>
              <w:t xml:space="preserve">Информация по каждому виду резерва: сумма на начало и конец отчетного периода</w:t>
            </w:r>
          </w:p>
        </w:tc>
      </w:tr>
      <w:tr>
        <w:tc>
          <w:tcPr/>
          <w:p>
            <w:pPr>
              <w:jc w:val="left"/>
            </w:pPr>
            <w:r>
              <w:t xml:space="preserve">В управе начисляется резерв на выплату иначислений на отпуск сотрудникамуправы. Остаток на начало года года составляет-2532648,37 руб. Остаток на конец года-6 796 192,95руб. Также начисляется резерв на страховые взносы на отпуска. Начало года-764 859,81руб. на конец года-1017992,71 руб.</w:t>
            </w:r>
          </w:p>
        </w:tc>
      </w:tr>
      <w:tr>
        <w:tc>
          <w:tcPr/>
          <w:p>
            <w:pPr>
              <w:pStyle w:val="Compact"/>
            </w:pPr>
          </w:p>
        </w:tc>
      </w:tr>
      <w:tr>
        <w:tc>
          <w:tcPr/>
          <w:p>
            <w:pPr>
              <w:jc w:val="left"/>
            </w:pPr>
            <w:r>
              <w:rPr>
                <w:bCs/>
                <w:b/>
              </w:rPr>
              <w:t xml:space="preserve">Информация по каждому виду резерва: сумма изменений (увеличений, уменьшений) величины резерва, в структуре оснований - создания резерва</w:t>
            </w:r>
          </w:p>
        </w:tc>
      </w:tr>
      <w:tr>
        <w:tc>
          <w:tcPr/>
          <w:p>
            <w:pPr>
              <w:jc w:val="left"/>
            </w:pPr>
            <w:r>
              <w:t xml:space="preserve">в 2020 году наблюдается увеличение величины резерва на 4 516 677,48 руб.</w:t>
            </w:r>
          </w:p>
        </w:tc>
      </w:tr>
      <w:tr>
        <w:tc>
          <w:tcPr/>
          <w:p>
            <w:pPr>
              <w:pStyle w:val="Compact"/>
            </w:pPr>
          </w:p>
        </w:tc>
      </w:tr>
      <w:tr>
        <w:tc>
          <w:tcPr/>
          <w:p>
            <w:pPr>
              <w:jc w:val="left"/>
            </w:pPr>
            <w:r>
              <w:rPr>
                <w:bCs/>
                <w:b/>
              </w:rPr>
              <w:t xml:space="preserve">Информация по каждому виду резерва: сумма изменений (увеличений, уменьшений) величины резерва, в структуре оснований - приращения дисконтированной стоимости резерва за отчетный период в связи с приближением срока исполнения обязательства, под которое был сформирован резерв, а также влияния любых изменений ставки дисконтирования</w:t>
            </w:r>
          </w:p>
        </w:tc>
      </w:tr>
      <w:tr>
        <w:tc>
          <w:tcPr/>
          <w:p>
            <w:pPr>
              <w:jc w:val="left"/>
            </w:pPr>
            <w:r>
              <w:t xml:space="preserve">приращения дисконтированной стоимости резерва за отчетный период в связи с приближением срока исполнения обязательства, под которое был сформирован резерв в 2020 г.не было</w:t>
            </w:r>
          </w:p>
        </w:tc>
      </w:tr>
      <w:tr>
        <w:tc>
          <w:tcPr/>
          <w:p>
            <w:pPr>
              <w:pStyle w:val="Compact"/>
            </w:pPr>
          </w:p>
        </w:tc>
      </w:tr>
      <w:tr>
        <w:tc>
          <w:tcPr/>
          <w:p>
            <w:pPr>
              <w:jc w:val="left"/>
            </w:pPr>
            <w:r>
              <w:rPr>
                <w:bCs/>
                <w:b/>
              </w:rPr>
              <w:t xml:space="preserve">Информация по каждому виду резерва: сумма изменений (увеличений, уменьшений) величины резерва, в структуре оснований - использования резерва</w:t>
            </w:r>
          </w:p>
        </w:tc>
      </w:tr>
      <w:tr>
        <w:tc>
          <w:tcPr/>
          <w:p>
            <w:pPr>
              <w:jc w:val="left"/>
            </w:pPr>
            <w:r>
              <w:t xml:space="preserve">В 2020году для выплаты начисленного отпуска был использован резерв в сумме 3297508,18 руб.</w:t>
            </w:r>
          </w:p>
        </w:tc>
      </w:tr>
      <w:tr>
        <w:tc>
          <w:tcPr/>
          <w:p>
            <w:pPr>
              <w:pStyle w:val="Compact"/>
            </w:pPr>
          </w:p>
        </w:tc>
      </w:tr>
      <w:tr>
        <w:tc>
          <w:tcPr/>
          <w:p>
            <w:pPr>
              <w:jc w:val="left"/>
            </w:pPr>
            <w:r>
              <w:rPr>
                <w:bCs/>
                <w:b/>
              </w:rPr>
              <w:t xml:space="preserve">Информация по каждому виду резерва: сумма изменений (увеличений, уменьшений) величины резерва, в структуре оснований - восстановления неиспользованных и излишне начисленных сумм резерва</w:t>
            </w:r>
          </w:p>
        </w:tc>
      </w:tr>
      <w:tr>
        <w:tc>
          <w:tcPr/>
          <w:p>
            <w:pPr>
              <w:jc w:val="left"/>
            </w:pPr>
            <w:r>
              <w:t xml:space="preserve">восстановления неиспользованных и излишне начисленных сумм резерва в 2020 году не проводилось.</w:t>
            </w:r>
          </w:p>
        </w:tc>
      </w:tr>
      <w:tr>
        <w:tc>
          <w:tcPr/>
          <w:p>
            <w:pPr>
              <w:pStyle w:val="Compact"/>
            </w:pPr>
          </w:p>
        </w:tc>
      </w:tr>
      <w:tr>
        <w:tc>
          <w:tcPr/>
          <w:p>
            <w:pPr>
              <w:jc w:val="left"/>
            </w:pPr>
            <w:r>
              <w:rPr>
                <w:bCs/>
                <w:b/>
              </w:rPr>
              <w:t xml:space="preserve">Информация по каждому виду резерва: краткое описание оснований создания резерва и ожидаемые сроки его использования</w:t>
            </w:r>
          </w:p>
        </w:tc>
      </w:tr>
      <w:tr>
        <w:tc>
          <w:tcPr/>
          <w:p>
            <w:pPr>
              <w:jc w:val="left"/>
            </w:pPr>
            <w:r>
              <w:t xml:space="preserve">В бухгалтерском учете резерв на оплату отпусков формируют, чтобы учесть обязательства организации перед работниками (п. 5, 8 ПБУ 8/2010). Оплачиваемые отпуска положены сотрудникам в рамках трудовых отношений.</w:t>
            </w:r>
          </w:p>
        </w:tc>
      </w:tr>
      <w:tr>
        <w:tc>
          <w:tcPr/>
          <w:p>
            <w:pPr>
              <w:pStyle w:val="Compact"/>
            </w:pPr>
          </w:p>
        </w:tc>
      </w:tr>
      <w:tr>
        <w:tc>
          <w:tcPr/>
          <w:p>
            <w:pPr>
              <w:jc w:val="left"/>
            </w:pPr>
            <w:r>
              <w:rPr>
                <w:bCs/>
                <w:b/>
              </w:rPr>
              <w:t xml:space="preserve">Информация по каждому виду резерва: указание на признаки неопределенности в части момента предъявления требования об исполнении обязательства и (или) его размера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каждому виду резерва: сумма ожидаемых возмещений по встречным требованиям или требованиям к другим лицам при исполнении соответствующего обязательства, признанных самостоятельным активом (с указанием наименования актива)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стоимости поступивших объектов непроизведенных активов с отдельным раскрытием сумм поступлений в результате приобретения объектов непроизведенных активов, получения объектов от собственника (учредителя), иной организации государственного сектора, вследствие увеличений балансовой стоимости объектов непроизведенных активов</w:t>
            </w:r>
          </w:p>
        </w:tc>
      </w:tr>
      <w:tr>
        <w:tc>
          <w:tcPr/>
          <w:p>
            <w:pPr>
              <w:pStyle w:val="Compact"/>
            </w:pPr>
          </w:p>
        </w:tc>
      </w:tr>
      <w:tr>
        <w:tc>
          <w:tcPr/>
          <w:p>
            <w:pPr>
              <w:pStyle w:val="Compact"/>
            </w:pPr>
          </w:p>
        </w:tc>
      </w:tr>
      <w:tr>
        <w:tc>
          <w:tcPr/>
          <w:p>
            <w:pPr>
              <w:jc w:val="left"/>
            </w:pPr>
            <w:r>
              <w:rPr>
                <w:bCs/>
                <w:b/>
              </w:rPr>
              <w:t xml:space="preserve">Информация о стоимости выбывших объектов непроизведенных активов с отдельным раскрытием сумм выбытий в результате передачи объектов имущества, учитываемых в составе непроизведенных активов, собственнику (учредителю), иной организации государственного сектора, вследствие перевода такого объекта в иную категорию объектов бухгалтерского учета, предназначенную для отчуждения не в пользу организаций государственного сектора, в связи с его реклассификацией</w:t>
            </w:r>
          </w:p>
        </w:tc>
      </w:tr>
      <w:tr>
        <w:tc>
          <w:tcPr/>
          <w:p>
            <w:pPr>
              <w:pStyle w:val="Compact"/>
            </w:pPr>
          </w:p>
        </w:tc>
      </w:tr>
      <w:tr>
        <w:tc>
          <w:tcPr/>
          <w:p>
            <w:pPr>
              <w:pStyle w:val="Compact"/>
            </w:pPr>
          </w:p>
        </w:tc>
      </w:tr>
      <w:tr>
        <w:tc>
          <w:tcPr/>
          <w:p>
            <w:pPr>
              <w:jc w:val="left"/>
            </w:pPr>
            <w:r>
              <w:rPr>
                <w:bCs/>
                <w:b/>
              </w:rPr>
              <w:t xml:space="preserve">Информация раскрываемая по каждой группе непроизведенных активов, о наличии и размере ограничений прав собственности или иных предоставленных прав, включая стоимость объектов имущества, которые субъект учета не вправе использовать в качестве обеспечения исполнения обязательств, а также перечень непроизведенных активов, переданных в качестве обеспечения исполнения обязательств субъекта учета, и их остаточную стоимость на начало и конец отчетного периода</w:t>
            </w:r>
          </w:p>
        </w:tc>
      </w:tr>
      <w:tr>
        <w:tc>
          <w:tcPr/>
          <w:p>
            <w:pPr>
              <w:pStyle w:val="Compact"/>
            </w:pPr>
          </w:p>
        </w:tc>
      </w:tr>
      <w:tr>
        <w:tc>
          <w:tcPr/>
          <w:p>
            <w:pPr>
              <w:pStyle w:val="Compact"/>
            </w:pPr>
          </w:p>
        </w:tc>
      </w:tr>
      <w:tr>
        <w:tc>
          <w:tcPr/>
          <w:p>
            <w:pPr>
              <w:jc w:val="left"/>
            </w:pPr>
            <w:r>
              <w:rPr>
                <w:bCs/>
                <w:b/>
              </w:rPr>
              <w:t xml:space="preserve">Информация раскрываемая по каждой группе непроизведенных активов, о сумме договорных обязательств по приобретению непроизведенных активов на конец отчетного периода</w:t>
            </w:r>
          </w:p>
        </w:tc>
      </w:tr>
      <w:tr>
        <w:tc>
          <w:tcPr/>
          <w:p>
            <w:pPr>
              <w:pStyle w:val="Compact"/>
            </w:pPr>
          </w:p>
        </w:tc>
      </w:tr>
      <w:tr>
        <w:tc>
          <w:tcPr/>
          <w:p>
            <w:pPr>
              <w:pStyle w:val="Compact"/>
            </w:pPr>
          </w:p>
        </w:tc>
      </w:tr>
      <w:tr>
        <w:tc>
          <w:tcPr/>
          <w:p>
            <w:pPr>
              <w:jc w:val="left"/>
            </w:pPr>
            <w:r>
              <w:rPr>
                <w:bCs/>
                <w:b/>
              </w:rPr>
              <w:t xml:space="preserve">Информация раскрываемая по каждой группе непроизведенных активов, о сумме компенсаций, причитающихся к получению от третьих сторон в связи с обесценением, утратой или передачей объектов непроизведенных активов, включенных в доходы текущего периода</w:t>
            </w:r>
          </w:p>
        </w:tc>
      </w:tr>
      <w:tr>
        <w:tc>
          <w:tcPr/>
          <w:p>
            <w:pPr>
              <w:pStyle w:val="Compact"/>
            </w:pPr>
          </w:p>
        </w:tc>
      </w:tr>
      <w:tr>
        <w:tc>
          <w:tcPr/>
          <w:p>
            <w:pPr>
              <w:pStyle w:val="Compact"/>
            </w:pPr>
          </w:p>
        </w:tc>
      </w:tr>
      <w:tr>
        <w:tc>
          <w:tcPr/>
          <w:p>
            <w:pPr>
              <w:jc w:val="left"/>
            </w:pPr>
            <w:r>
              <w:rPr>
                <w:bCs/>
                <w:b/>
              </w:rPr>
              <w:t xml:space="preserve">Информация об объектах непроизведенных активов, не приносящих субъекту учета экономические выгоды, не имеющих полезного потенциала, в отношении которых в дальнейшем не предусматривается получение экономических выгод и учитывающихся на забалансовых счетах Рабочего плана счетов субъекта учета, утвержденного субъектом учета в рамках его учетной политики (далее - забалансовый учет)</w:t>
            </w:r>
          </w:p>
        </w:tc>
      </w:tr>
      <w:tr>
        <w:tc>
          <w:tcPr/>
          <w:p>
            <w:pPr>
              <w:pStyle w:val="Compact"/>
            </w:pPr>
          </w:p>
        </w:tc>
      </w:tr>
      <w:tr>
        <w:tc>
          <w:tcPr/>
          <w:p>
            <w:pPr>
              <w:pStyle w:val="Compact"/>
            </w:pPr>
          </w:p>
        </w:tc>
      </w:tr>
      <w:tr>
        <w:tc>
          <w:tcPr/>
          <w:p>
            <w:pPr>
              <w:jc w:val="left"/>
            </w:pPr>
            <w:r>
              <w:rPr>
                <w:bCs/>
                <w:b/>
              </w:rPr>
              <w:t xml:space="preserve">Информация о земельных участках, не внесенных в государственный кадастр недвижимости, на которые государственная собственность разграничена, не закрепленных на праве постоянного (бессрочного) пользования за учреждением, не используемых для извлечения экономических выгод или полезного потенциала, справедливая стоимость которых не определяется и для которых ведется забалансовый учет в условной оценке: один объект - один рубль</w:t>
            </w:r>
          </w:p>
        </w:tc>
      </w:tr>
      <w:tr>
        <w:tc>
          <w:tcPr/>
          <w:p>
            <w:pPr>
              <w:pStyle w:val="Compact"/>
            </w:pPr>
          </w:p>
        </w:tc>
      </w:tr>
      <w:tr>
        <w:tc>
          <w:tcPr/>
          <w:p>
            <w:pPr>
              <w:pStyle w:val="Compact"/>
            </w:pPr>
          </w:p>
        </w:tc>
      </w:tr>
      <w:tr>
        <w:tc>
          <w:tcPr/>
          <w:p>
            <w:pPr>
              <w:jc w:val="left"/>
            </w:pPr>
            <w:r>
              <w:rPr>
                <w:bCs/>
                <w:b/>
              </w:rPr>
              <w:t xml:space="preserve">Информация о наличии в Сведениях о вложениях в объекты недвижимого имущества, объектах незавершенного строительства (ф. 0503190) объекта капитального вложения, указанного в Сведениях о вложениях в объекты недвижимого имущества, об объектах незавершенного строительства бюджетного (автономного) учреждения (ф. 0503790) в случае, когда бюджетное (автономное) учреждение, в соответствии с переданными ему полномочиями, реализует бюджетные инвестиции в объект строительства за счет средств бюджета при условии софинансирования таких инвестиций (капитальных вложений)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безвозмездной передаче объектов нефинансовых активов, отраженная по кодам счетов бюджетного учета 040120242, 040120244, 040120282, 040120284: наименование ГУПа, КП; правовое основание передачи имущества; стоимость передаваемых НФА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безвозмездной передаче объектов нефинансовых активов, отраженная по кодам счетов бюджетного учета 040120243, 040120245, 040120246, 040120283, 040120285, 040120286: наименование юридического или физического лица; правовое основание передачи имущества; стоимость передаваемых НФА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просроченной дебиторской (кредиторской) задолженности, на конец отчетного периода отраженной в ф.0503169 с кодом причин: 05 - иные причины возникновения просроченной кредиторской задолженности; 89 - иные причины возникновения просроченной дебиторской задолженности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38 «Сметная стоимость создания (реконструкции) объекта концессии»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39 «Доходы от инвестиций на создание и (или) реконструкцию объекта концессии»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45 «Доходы и расходы по долгосрочным договорам строительного подряда»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счету бюджетного учета 140110176</w:t>
            </w:r>
          </w:p>
        </w:tc>
      </w:tr>
      <w:tr>
        <w:tc>
          <w:tcPr/>
          <w:p>
            <w:pPr>
              <w:jc w:val="left"/>
            </w:pPr>
            <w:r>
              <w:t xml:space="preserve">Информация представлена в приложении к Пояснительной записке «Расшифровка показателей по счету 1 401 10 176 «Доходы от оценки активов и обязательств», отраженных в Отчете о финансовых результатах деятельности (ф. 0503121) (справочно)»</w:t>
            </w:r>
          </w:p>
        </w:tc>
      </w:tr>
      <w:tr>
        <w:tc>
          <w:tcPr/>
          <w:p>
            <w:pPr>
              <w:pStyle w:val="Compact"/>
            </w:pPr>
          </w:p>
        </w:tc>
      </w:tr>
      <w:tr>
        <w:tc>
          <w:tcPr/>
          <w:p>
            <w:pPr>
              <w:jc w:val="left"/>
            </w:pPr>
            <w:r>
              <w:rPr>
                <w:bCs/>
                <w:b/>
              </w:rPr>
              <w:t xml:space="preserve">Прочая информация</w:t>
            </w:r>
          </w:p>
        </w:tc>
      </w:tr>
      <w:tr>
        <w:tc>
          <w:tcPr/>
          <w:p>
            <w:pPr>
              <w:jc w:val="left"/>
            </w:pPr>
            <w:r>
              <w:t xml:space="preserve">Информация отсутствует.</w:t>
            </w:r>
          </w:p>
        </w:tc>
      </w:tr>
      <w:tr>
        <w:tc>
          <w:tcPr/>
          <w:p>
            <w:pPr>
              <w:pStyle w:val="Compact"/>
            </w:pPr>
          </w:p>
        </w:tc>
      </w:tr>
      <w:tr>
        <w:tc>
          <w:tcPr/>
          <w:p>
            <w:pPr>
              <w:pStyle w:val="Compact"/>
            </w:pPr>
          </w:p>
        </w:tc>
      </w:tr>
    </w:tbl>
    <w:p>
      <w:pPr>
        <w:pStyle w:val="BodyText"/>
      </w:pPr>
      <w:r>
        <w:rPr>
          <w:bCs/>
          <w:b/>
        </w:rPr>
        <w:t xml:space="preserve">Раздел 5 «Прочие вопросы деятельности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Перечень правовых актов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бюджетов, регулирующих ведение бюджетного (бухгалтерского) учета и составление отчетности</w:t>
            </w:r>
          </w:p>
        </w:tc>
      </w:tr>
      <w:tr>
        <w:tc>
          <w:tcPr/>
          <w:p>
            <w:pPr>
              <w:jc w:val="left"/>
            </w:pPr>
            <w:r>
              <w:t xml:space="preserve">Федеральный закон от 06.12.2011 N 402-ФЗ "О бухгалтерском учете"; Приказ Минфина РФ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 Минфина РФ от 16.12.2010 N 174н "Об утверждении Плана счетов бухгалтерского учета бюджетных учреждений и Инструкции по его применению"; Приказ Минфина России от 31.12.2016 N 257н "Об утверждении федерального стандарта бухгалтерского учета для организаций государственного сектора "Основные средства"; Приказ Минфина России от 31.12.2016 N 258н "Об утверждении федерального стандарта бухгалтерского учета для организаций государственного сектора "Аренда"; Приказ Минфина России от 31.12.2016 N 259н "Об утверждении федерального стандарта бухгалтерского учета для организаций государственного сектора "Обесценение активов"; Приказ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Приказ Минфина РФ от 25.03.2011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Приказ Минфина России от 01.07.2013 N 65н "Об утверждении Указаний о порядке применения бюджетной классификации Российской Федерации".</w:t>
            </w:r>
          </w:p>
        </w:tc>
      </w:tr>
      <w:tr>
        <w:tc>
          <w:tcPr/>
          <w:p>
            <w:pPr>
              <w:pStyle w:val="Compact"/>
            </w:pPr>
          </w:p>
        </w:tc>
      </w:tr>
      <w:tr>
        <w:tc>
          <w:tcPr/>
          <w:p>
            <w:pPr>
              <w:jc w:val="left"/>
            </w:pPr>
            <w:r>
              <w:rPr>
                <w:bCs/>
                <w:b/>
              </w:rPr>
              <w:t xml:space="preserve">Перечень правовых актов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бюджетов, регулирующих ведение бюджетного (бухгалтерского) учета и составление отчетности в системе подведомственных ему получателей бюджетных средств, администраторов источников финансирования дефицита бюджета, администраторов доходов бюджета, соответственно</w:t>
            </w:r>
          </w:p>
        </w:tc>
      </w:tr>
      <w:tr>
        <w:tc>
          <w:tcPr/>
          <w:p>
            <w:pPr>
              <w:jc w:val="left"/>
            </w:pPr>
            <w:r>
              <w:t xml:space="preserve">Бухгалтерам госучреждений (в том числе казенных) при составлении отчетности необходимо соблюдать две основополагающие инструкции:о порядке составления и предоставления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28.12.2010 № 191н и поправками к ней;</w:t>
            </w:r>
          </w:p>
        </w:tc>
      </w:tr>
      <w:tr>
        <w:tc>
          <w:tcPr/>
          <w:p>
            <w:pPr>
              <w:pStyle w:val="Compact"/>
            </w:pPr>
          </w:p>
        </w:tc>
      </w:tr>
      <w:tr>
        <w:tc>
          <w:tcPr/>
          <w:p>
            <w:pPr>
              <w:jc w:val="left"/>
            </w:pPr>
            <w:r>
              <w:rPr>
                <w:bCs/>
                <w:b/>
              </w:rPr>
              <w:t xml:space="preserve">Способы оценки активов, обязательств, доходов и расходов, применяемые субъектом отчетности при формировании бухгалтерской (финансовой) отчетности в случаях, когда нормативные правовые акты, регулирующие ведение бухгалтерского учета и составление бухгалтерской (финансовой) отчетности, допускают выбор субъектом отчетности одного из нескольких допустимых способов оценки активов, обязательств, доходов и расходов</w:t>
            </w:r>
          </w:p>
        </w:tc>
      </w:tr>
      <w:tr>
        <w:tc>
          <w:tcPr/>
          <w:p>
            <w:pPr>
              <w:jc w:val="left"/>
            </w:pPr>
            <w:r>
              <w:t xml:space="preserve">Оценка основных средств и материальных запасов, приобретенных за плату, осуществляется по фактической стоимости приобретения с учетом расходов, связанных с их приобретением. Первоначальная стоимость объектов основных средств определяется по справедливой стоимости, установленной методом рыночных цен на дату принятия к учету, в отношении следующих объектов: безвозмездно полученных от физических или юридических лиц по договорам пожертвования (за исключением объектов, полученных от организаций государственного сектора при условии, что в передаточных документах указана стоимость таких объектов); при выявлении объектов, созданных в рамках проведения ремонтных работ, соответствующих критериям признания объектов основных средств; выявленных по результатам инвентаризации. При одновременном приобретении нескольких видов основных средств и материальных запасов расходы распределяются пропорционально договорной цене приобретаемых нефинансовых активов. Выбытие материальных запасов признается по средней фактической стоимости запасов.</w:t>
            </w:r>
          </w:p>
        </w:tc>
      </w:tr>
      <w:tr>
        <w:tc>
          <w:tcPr/>
          <w:p>
            <w:pPr>
              <w:pStyle w:val="Compact"/>
            </w:pPr>
          </w:p>
        </w:tc>
      </w:tr>
      <w:tr>
        <w:tc>
          <w:tcPr/>
          <w:p>
            <w:pPr>
              <w:jc w:val="left"/>
            </w:pPr>
            <w:r>
              <w:rPr>
                <w:bCs/>
                <w:b/>
              </w:rPr>
              <w:t xml:space="preserve">Информация о профессиональных суждениях, выработанных в процессе применения учетной политики и оказывающих существенное влияние на показатели бухгалтерской (финансовой) отчетности (например, профессиональные суждения о том, относятся ли объекты к основным средствам или инвестиционной недвижимости, являются ли договоры соглашениями об аренде)</w:t>
            </w:r>
          </w:p>
        </w:tc>
      </w:tr>
      <w:tr>
        <w:tc>
          <w:tcPr/>
          <w:p>
            <w:pPr>
              <w:jc w:val="left"/>
            </w:pPr>
            <w:r>
              <w:t xml:space="preserve">Профессиональное суждение о том, относятся ли объекты к основным средствам или инвестиционной недвижимости. Для целей бухгалтерского учета объект независимо от стоимости относится к основным средствам, если одновременно соблюдаются следующие условия: срок его полезного использования составляет более 12 месяцев (если иное не предусмотрено Федеральным стандартом N 257н и Инструкцией N 157н); предназначен для неоднократного или постоянного использования при выполнении государственных (муниципальных) полномочий либо для деятельности по выполнению работ (услуг) или для управленческих нужд (п. 7 Федерального стандарта N 257н); при его использовании планируется получить экономические выгоды или полезный потенциал и первоначальную стоимость как объекта бухгалтерского учета можно надежно оценить. Эти критерии признания объекта основных средств должны применяться к инвентарному объекту в целом (п. 8 Федерального стандарта N 257н). Объект относится к основным средствам, если находится в эксплуатации, в запасе или на консервации либо передан во временное владение и пользование или во временное пользование по договору аренды (имущественного найма) либо по договору безвозмездного пользования (п. 7 Федерального стандарта N 257н). Библиотечный фонд (за исключением периодических изданий) относится к основным средствам независимо от срока полезного использования (п. 8 Федерального стандарта N 257н). Объект признается инвестиционной недвижимостью, если одновременно соблюдаются следующие условия (п. 7 Федерального стандарта N 257н): объект находится во владении или пользовании учреждения; объект приносит доход в виде платы за пользование имуществом (арендной платы) или увеличивает стоимость недвижимого имущества; объект не предназначен для выполнения возложенных на учреждение полномочий (функций), осуществления деятельности по выполнению работ, оказанию услуг либо для управленческих нужд или для продажи.</w:t>
            </w:r>
          </w:p>
        </w:tc>
      </w:tr>
      <w:tr>
        <w:tc>
          <w:tcPr/>
          <w:p>
            <w:pPr>
              <w:pStyle w:val="Compact"/>
            </w:pPr>
          </w:p>
        </w:tc>
      </w:tr>
      <w:tr>
        <w:tc>
          <w:tcPr/>
          <w:p>
            <w:pPr>
              <w:jc w:val="left"/>
            </w:pPr>
            <w:r>
              <w:rPr>
                <w:bCs/>
                <w:b/>
              </w:rPr>
              <w:t xml:space="preserve">Прочие положения учетной политики субъекта отчетности, необходимые для понимания пользователями бухгалтерской (финансовой) отчетности его финансового положения, финансовых результатов деятельности и движения денежных средств</w:t>
            </w:r>
          </w:p>
        </w:tc>
      </w:tr>
      <w:tr>
        <w:tc>
          <w:tcPr/>
          <w:p>
            <w:pPr>
              <w:jc w:val="left"/>
            </w:pPr>
            <w:r>
              <w:t xml:space="preserve">Ответственным за принятие решения об отражении событий после отчетной даты в учете и отчетностиучреждения является руководитель. Событие после отчетной даты признается существенным, еслибез знания о нем пользователями отчетности невозможна достоверная оценка финансового состояния,движения денежных средств или результатов деятельности учреждения. Существенное событиепосле отчетной даты подлежит отражению в учете и отчетности независимо от его положительного илиотрицательного характера для учреждения.</w:t>
            </w:r>
          </w:p>
        </w:tc>
      </w:tr>
      <w:tr>
        <w:tc>
          <w:tcPr/>
          <w:p>
            <w:pPr>
              <w:pStyle w:val="Compact"/>
            </w:pPr>
          </w:p>
        </w:tc>
      </w:tr>
      <w:tr>
        <w:tc>
          <w:tcPr/>
          <w:p>
            <w:pPr>
              <w:jc w:val="left"/>
            </w:pPr>
            <w:r>
              <w:rPr>
                <w:bCs/>
                <w:b/>
              </w:rPr>
              <w:t xml:space="preserve">Информация об основных источниках неопределенностей в отношении учетных оценок, включая ключевые допущения, касающиеся будущих событий, и другие основные источники неопределенностей, в связи с которыми имеются риски существенных корректировок балансовой стоимости активов и обязательств в следующем отчетном году, а также наименование и балансовая стоимость таких активов и обязательств на отчетную дату. (например, к таким учетным оценкам относятся оценка возмещаемой стоимости определенных классов основных средств, оценка влияния технологического устаревания на стоимость запасов, оценка резервов в связи с будущими результатами текущих судебных разбирательств)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объекте бухгалтерского учета, который нельзя оценить, и который не признается в бухгалтерском учете, если иное не установлено иными нормативными правовыми актами, регулирующими ведение бухгалтерского учета и составление бухгалтерской (финансовой) отчетности</w:t>
            </w:r>
          </w:p>
        </w:tc>
      </w:tr>
      <w:tr>
        <w:tc>
          <w:tcPr/>
          <w:p>
            <w:pPr>
              <w:jc w:val="left"/>
            </w:pPr>
            <w:r>
              <w:t xml:space="preserve">В 2020 году отсутствовали объекты, стоимость которых нельзя было оценить и которые не признавались вбухгалтерском учете.</w:t>
            </w:r>
          </w:p>
        </w:tc>
      </w:tr>
      <w:tr>
        <w:tc>
          <w:tcPr/>
          <w:p>
            <w:pPr>
              <w:pStyle w:val="Compact"/>
            </w:pPr>
          </w:p>
        </w:tc>
      </w:tr>
      <w:tr>
        <w:tc>
          <w:tcPr/>
          <w:p>
            <w:pPr>
              <w:jc w:val="left"/>
            </w:pPr>
            <w:r>
              <w:rPr>
                <w:bCs/>
                <w:b/>
              </w:rPr>
              <w:t xml:space="preserve">Иная информация, не отраженная в таблице № 4 «Сведения об основных положениях учетной политики»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результатах мероприятий внутреннего государственного (муниципального) финансового контроля</w:t>
            </w:r>
          </w:p>
        </w:tc>
      </w:tr>
      <w:tr>
        <w:tc>
          <w:tcPr/>
          <w:p>
            <w:pPr>
              <w:jc w:val="left"/>
            </w:pPr>
            <w:r>
              <w:t xml:space="preserve">Мероприятия внутреннего государственного (муниципального) финансового контроля контролирующими органами в отношении учреждения не проводились. Для осуществления внутреннего контроля совершаемых фактов хозяйственной жизни в Префектуре ЦАО создана комиссия по внутреннему контролю, состоящая из штатных сотрудников префектурыя. Комиссией проводились мероприятия по предварительному контролю: соответствие принимаемых обязательств объемам утвержденных плановых назначений до проведения торгов и заключения контрактов, проверка проектов договоров на предмет законности и целесообразности, проверка документов до совершения хозяйственных операций в соответствии с правилами и графиком документооборота, проверка бухгалтерской, статистической, налоговой и другой отчетности до утверждения или подписания. Мероприятия по текущему контролю: проверка расходных денежных документов ( счетов, заявлений подотчетных лиц) до их оплаты, , сверка данных аналитического учета с данными синтетического учета, проверка достоверности отражения фактов хозяйственной жизни в учете и отчетности, проверка результатов инвентаризации имущества и обязательств.</w:t>
            </w:r>
          </w:p>
        </w:tc>
      </w:tr>
      <w:tr>
        <w:tc>
          <w:tcPr/>
          <w:p>
            <w:pPr>
              <w:pStyle w:val="Compact"/>
            </w:pPr>
          </w:p>
        </w:tc>
      </w:tr>
      <w:tr>
        <w:tc>
          <w:tcPr/>
          <w:p>
            <w:pPr>
              <w:jc w:val="left"/>
            </w:pPr>
            <w:r>
              <w:rPr>
                <w:bCs/>
                <w:b/>
              </w:rPr>
              <w:t xml:space="preserve">Информация о проведении годовой инвентаризации (Номер приказа, дата, причины проведения инвентаризации)</w:t>
            </w:r>
          </w:p>
        </w:tc>
      </w:tr>
      <w:tr>
        <w:tc>
          <w:tcPr/>
          <w:p>
            <w:pPr>
              <w:jc w:val="left"/>
            </w:pPr>
            <w:r>
              <w:t xml:space="preserve">Годовая инвентаризация проведена на основании приказа управы от 08.12.2020 № 031/1-кр , Причина проведения инвентаризации - перед составлением годовой бухгалтерской отчетности. Инвентаризация проведена в полном объеме в установленные сроки. излишков и недостач не обнаружено.</w:t>
            </w:r>
          </w:p>
        </w:tc>
      </w:tr>
      <w:tr>
        <w:tc>
          <w:tcPr/>
          <w:p>
            <w:pPr>
              <w:pStyle w:val="Compact"/>
            </w:pPr>
          </w:p>
        </w:tc>
      </w:tr>
      <w:tr>
        <w:tc>
          <w:tcPr/>
          <w:p>
            <w:pPr>
              <w:jc w:val="left"/>
            </w:pPr>
            <w:r>
              <w:rPr>
                <w:bCs/>
                <w:b/>
              </w:rPr>
              <w:t xml:space="preserve">Сведения о результатах внешнего государственного (муниципального) финансового контроля</w:t>
            </w:r>
          </w:p>
        </w:tc>
      </w:tr>
      <w:tr>
        <w:tc>
          <w:tcPr/>
          <w:p>
            <w:pPr>
              <w:jc w:val="left"/>
            </w:pPr>
            <w:r>
              <w:t xml:space="preserve">Внешний государственный (муниципальный) финансовый контроль не проводился.</w:t>
            </w:r>
          </w:p>
        </w:tc>
      </w:tr>
      <w:tr>
        <w:tc>
          <w:tcPr/>
          <w:p>
            <w:pPr>
              <w:pStyle w:val="Compact"/>
            </w:pPr>
          </w:p>
        </w:tc>
      </w:tr>
      <w:tr>
        <w:tc>
          <w:tcPr/>
          <w:p>
            <w:pPr>
              <w:jc w:val="left"/>
            </w:pPr>
            <w:r>
              <w:rPr>
                <w:bCs/>
                <w:b/>
              </w:rPr>
              <w:t xml:space="preserve">Информация об исполнении судебных решений, отраженная в ф.0503296 «Сведения об исполнении судебных решений по денежным обязательствам бюджета» (причины возникновения обязательств по судебным решениям, характер задолженности, причины неисполнения обязательств, причины увеличения задолженности, а также меры по ее устранению). Правовое основание возникновения задолженности в части неисполненных судебных решений по КОСГУ 296, КОСГУ 297</w:t>
            </w:r>
          </w:p>
        </w:tc>
      </w:tr>
      <w:tr>
        <w:tc>
          <w:tcPr/>
          <w:p>
            <w:pPr>
              <w:jc w:val="left"/>
            </w:pPr>
            <w:r>
              <w:t xml:space="preserve">Вся информация отражена в ф. 0503296</w:t>
            </w:r>
          </w:p>
        </w:tc>
      </w:tr>
      <w:tr>
        <w:tc>
          <w:tcPr/>
          <w:p>
            <w:pPr>
              <w:pStyle w:val="Compact"/>
            </w:pPr>
          </w:p>
        </w:tc>
      </w:tr>
      <w:tr>
        <w:tc>
          <w:tcPr/>
          <w:p>
            <w:pPr>
              <w:jc w:val="left"/>
            </w:pPr>
            <w:r>
              <w:rPr>
                <w:bCs/>
                <w:b/>
              </w:rPr>
              <w:t xml:space="preserve">Информация о просроченной кредиторской задолженности отраженная в ф.0503387 «Справочная таблица к отчету об исполнении консолидированного бюджета субъекта Российской Федерации»</w:t>
            </w:r>
          </w:p>
        </w:tc>
      </w:tr>
      <w:tr>
        <w:tc>
          <w:tcPr/>
          <w:p>
            <w:pPr>
              <w:jc w:val="left"/>
            </w:pPr>
            <w:r>
              <w:t xml:space="preserve">Информация представлена в приложении к Пояснительной записке «Анализ просроченной кредиторской задолженности в соответствии с данными бюджетного учета (в части расчетов по принятым обязательствам)»</w:t>
            </w:r>
          </w:p>
        </w:tc>
      </w:tr>
      <w:tr>
        <w:tc>
          <w:tcPr/>
          <w:p>
            <w:pPr>
              <w:pStyle w:val="Compact"/>
            </w:pPr>
          </w:p>
        </w:tc>
      </w:tr>
      <w:tr>
        <w:tc>
          <w:tcPr/>
          <w:p>
            <w:pPr>
              <w:jc w:val="left"/>
            </w:pPr>
            <w:r>
              <w:rPr>
                <w:bCs/>
                <w:b/>
              </w:rPr>
              <w:t xml:space="preserve">Иная информация отраженная в ф.0503387 «Справочная таблица к отчету об исполнении консолидированного бюджета субъекта Российской Федерации» и требующая пояснения</w:t>
            </w:r>
          </w:p>
        </w:tc>
      </w:tr>
      <w:tr>
        <w:tc>
          <w:tcPr/>
          <w:p>
            <w:pPr>
              <w:jc w:val="left"/>
            </w:pPr>
            <w:r>
              <w:t xml:space="preserve">Фонд оплаты труда государственных(муниципальных) органов -43202200,00руб.; иные выплаты персоналу государственных(муниципальных) органов-546800,00руб.; взносы по обязательному социальному страхованию на выплаты денежного содержания работников государственных(муниципальных) органов -4558256.82,00руб.</w:t>
            </w:r>
          </w:p>
        </w:tc>
      </w:tr>
      <w:tr>
        <w:tc>
          <w:tcPr/>
          <w:p>
            <w:pPr>
              <w:pStyle w:val="Compact"/>
            </w:pPr>
          </w:p>
        </w:tc>
      </w:tr>
      <w:tr>
        <w:tc>
          <w:tcPr/>
          <w:p>
            <w:pPr>
              <w:jc w:val="left"/>
            </w:pPr>
            <w:r>
              <w:rPr>
                <w:bCs/>
                <w:b/>
              </w:rPr>
              <w:t xml:space="preserve">Корреспонденция счетов бюджетного учета, утвержденная субъектами учета (ГАБС, подведомственными ПБС) дополнительно к перечню, установленному Инструкцией №162н</w:t>
            </w:r>
          </w:p>
        </w:tc>
      </w:tr>
      <w:tr>
        <w:tc>
          <w:tcPr/>
          <w:p>
            <w:pPr>
              <w:jc w:val="left"/>
            </w:pPr>
            <w:r>
              <w:t xml:space="preserve">Информация отсутствует.</w:t>
            </w:r>
          </w:p>
        </w:tc>
      </w:tr>
      <w:tr>
        <w:tc>
          <w:tcPr/>
          <w:p>
            <w:pPr>
              <w:pStyle w:val="Compact"/>
            </w:pPr>
          </w:p>
        </w:tc>
      </w:tr>
      <w:tr>
        <w:tc>
          <w:tcPr/>
          <w:p>
            <w:pPr>
              <w:jc w:val="left"/>
            </w:pPr>
            <w:r>
              <w:rPr>
                <w:bCs/>
                <w:b/>
              </w:rPr>
              <w:t xml:space="preserve">Перечень форм отчетности, не включенных в состав бюджетной отчетности за отчетный период ввиду отсутствия числовых значений показателей (подлежит заполнению при отсутствии возможности формирования и (или) представления бюджетной отчетности средствами программных комплексов)</w:t>
            </w:r>
          </w:p>
        </w:tc>
      </w:tr>
      <w:tr>
        <w:tc>
          <w:tcPr/>
          <w:p>
            <w:pPr>
              <w:jc w:val="left"/>
            </w:pPr>
            <w:r>
              <w:t xml:space="preserve">Формы бюджетной отчетности, не имеющие числовых значений показателей и не содержащие пояснения, сформированы и представлены посредством модуля «Консолидированная бюджетная отчетность» автоматизированной информационной системы Департамента финансов города Москвы с указанием отметки «показатели отсутствуют»</w:t>
            </w:r>
          </w:p>
        </w:tc>
      </w:tr>
      <w:tr>
        <w:tc>
          <w:tcPr/>
          <w:p>
            <w:pPr>
              <w:pStyle w:val="Compact"/>
            </w:pPr>
          </w:p>
        </w:tc>
      </w:tr>
      <w:tr>
        <w:tc>
          <w:tcPr/>
          <w:p>
            <w:pPr>
              <w:jc w:val="left"/>
            </w:pPr>
            <w:r>
              <w:rPr>
                <w:bCs/>
                <w:b/>
              </w:rPr>
              <w:t xml:space="preserve">Иная информация, оказавшая существенное влияние и характеризующую показатели деятельности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Обобщение показателей по счету 010500000 "Материальные запасы" не влияет на существенность информации, раскрываемой в бухгалтерской отчетности.</w:t>
            </w:r>
          </w:p>
        </w:tc>
      </w:tr>
      <w:tr>
        <w:tc>
          <w:tcPr/>
          <w:p>
            <w:pPr>
              <w:pStyle w:val="Compact"/>
            </w:pPr>
          </w:p>
        </w:tc>
      </w:tr>
      <w:tr>
        <w:tc>
          <w:tcPr/>
          <w:p>
            <w:pPr>
              <w:jc w:val="left"/>
            </w:pPr>
            <w:r>
              <w:rPr>
                <w:bCs/>
                <w:b/>
              </w:rPr>
              <w:t xml:space="preserve">Иная информация по заключению счетов бюджетного учета отчетного финансового года, отраженная в форме 0503110</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отраженных в Отчете ф.0503121 по кодам КОСГУ 231 - «Обслуживание внутреннего долга», 710 - «Увеличение задолженности по внутренним привлеченным заимствованиям», 810 - «Уменьшение задолженности по внутренним привлеченным заимствованиям»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отраженных в Отчете ф.0503121 по кодам КОСГУ 232 - Обслуживание внешнего долга», 720 - «Увеличение задолженности по внешним привлеченным заимствованиям», 820 - «Уменьшение задолженности по внешним привлеченным заимствованиям»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отраженных в Отчете ф.0503121 по кодам КОСГУ 253 – «перечисления международным организациям»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отраженных в Отчете ф.0503121 по статьям КОСГУ 540 - «Увеличение задолженности по предоставленным заимствованиям», 640 - «Уменьшение задолженности по предоставленным заимствованиям»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наличия допустимых отклонений показателей отчета ф.0503324 данным, отраженным в Отчете ф. 0531888, формируемом Управлением Федерального казначейства по г. Москве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полученных межбюджетных трансфертах находящихся на отчетную дату на счете территориального органа Федерального казначейства, открытом на балансовом счете 40101 «Доходы, распределяемые органами Федерального казначейства между уровнями бюджетной системы Российской Федерации» (на основании ф. 0503184)</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 межбюджетных трансфертах за отчетный период, не нашедшая отражения в формах отчетов, таблицах и приложениях</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влиянии факта несоблюдения допущения непрерывности деятельности субъекта отчетности на показатели бухгалтерской (финансовой) отчетности (с описанием причины, по которой субъект отчетности не считается непрерывно действующим)</w:t>
            </w:r>
          </w:p>
        </w:tc>
      </w:tr>
      <w:tr>
        <w:tc>
          <w:tcPr/>
          <w:p>
            <w:pPr>
              <w:jc w:val="left"/>
            </w:pPr>
            <w:r>
              <w:t xml:space="preserve">внесены изменения в классификацию публично раскрываемых показателей бухгалтерской (финансовой) отчетности учреждения (реклассификация показателей отчетности) в связи с применением новых положений нормативных правовых актов, регулирующих ведение бухгалтерского учета и составление бухгалтерской (финансовой) отчетности. В том числе связанными с переходом на применение федеральных стандартов бухгалтерского учета для государственного сектора.</w:t>
            </w:r>
          </w:p>
        </w:tc>
      </w:tr>
      <w:tr>
        <w:tc>
          <w:tcPr/>
          <w:p>
            <w:pPr>
              <w:pStyle w:val="Compact"/>
            </w:pPr>
          </w:p>
        </w:tc>
      </w:tr>
      <w:tr>
        <w:tc>
          <w:tcPr/>
          <w:p>
            <w:pPr>
              <w:jc w:val="left"/>
            </w:pPr>
            <w:r>
              <w:rPr>
                <w:bCs/>
                <w:b/>
              </w:rPr>
              <w:t xml:space="preserve">Информация о причинах изменения классификации публично раскрываемых показателей бухгалтерской (финансовой) отчетности от периода к периоду ( в результате значительных изменений характера деятельности субъекта отчетности; когда результаты анализа раскрываемых показателей его бухгалтерской (финансовой) отчетности указывают, что другое представление или классификация показателей необходимо исходя из положений применяемой в отчетном периоде учетной политики субъекта отчетности; когда нормативные правовые акты, регулирующие ведение бухгалтерского учета и составление бухгалтерской (финансовой) отчетности предусматривают изменение классификации публично раскрываемых показателей бухгалтерской (финансовой) отчетности и (или) порядка их раскрытия в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внесении изменений в классификацию публично раскрываемых показателей бухгалтерской (финансовой) отчетности и о пересмотре классификации сравнительной информации, раскрываемой в бухгалтерской (финансовой) отчетности за предыдущие отчетные периоды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обобщение которых не влияет на существенность информации, раскрываемой в бухгалтерской (финансовой) отчетности, но которые необходимы для достоверного представления информации о результатах деятельности субъекта отчетности (раскрываются обособленно)</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Сопоставимая информация по всем публично раскрываемым показателям бухгалтерской (финансовой) отчетности хотя бы за один аналогичный предыдущий период, за исключением случаев, когда иное предусмотрено нормативными правовыми актами, регулирующими ведение бухгалтерского учета и составление бухгалтерской (финансовой) отчетности. При наличии описательных (словесных) пояснений к отдельным показателям бухгалтерской (финансовой) отчетности сопоставимая описательная информация за предыдущий период раскрывается, если она является необходимой для понимания пользователями бухгалтерской (финансовой) отчетности таких показателей</w:t>
            </w:r>
          </w:p>
        </w:tc>
      </w:tr>
      <w:tr>
        <w:tc>
          <w:tcPr/>
          <w:p>
            <w:pPr>
              <w:jc w:val="left"/>
            </w:pPr>
            <w:r>
              <w:t xml:space="preserve">Сопоставимая информация за аналогичный период приведена в формах 0503130,0503168,0503169</w:t>
            </w:r>
          </w:p>
        </w:tc>
      </w:tr>
      <w:tr>
        <w:tc>
          <w:tcPr/>
          <w:p>
            <w:pPr>
              <w:pStyle w:val="Compact"/>
            </w:pPr>
          </w:p>
        </w:tc>
      </w:tr>
      <w:tr>
        <w:tc>
          <w:tcPr/>
          <w:p>
            <w:pPr>
              <w:jc w:val="left"/>
            </w:pPr>
            <w:r>
              <w:rPr>
                <w:bCs/>
                <w:b/>
              </w:rPr>
              <w:t xml:space="preserve">Детализированная существенная информация об активах и обязательствах, необходимая для понимания пользователями бухгалтерской (финансовой) отчетности финансового положения субъекта отчетности</w:t>
            </w:r>
          </w:p>
        </w:tc>
      </w:tr>
      <w:tr>
        <w:tc>
          <w:tcPr/>
          <w:p>
            <w:pPr>
              <w:jc w:val="left"/>
            </w:pPr>
            <w:r>
              <w:t xml:space="preserve">Детализированная информация об активах и обязательствах содержится в формах 0503121, 0503168,0503169.</w:t>
            </w:r>
          </w:p>
        </w:tc>
      </w:tr>
      <w:tr>
        <w:tc>
          <w:tcPr/>
          <w:p>
            <w:pPr>
              <w:pStyle w:val="Compact"/>
            </w:pPr>
          </w:p>
        </w:tc>
      </w:tr>
      <w:tr>
        <w:tc>
          <w:tcPr/>
          <w:p>
            <w:pPr>
              <w:jc w:val="left"/>
            </w:pPr>
            <w:r>
              <w:rPr>
                <w:bCs/>
                <w:b/>
              </w:rPr>
              <w:t xml:space="preserve">Информация о чистых активах. В случаях, если чистые активы не превышают нижнюю границу допустимых лимитов, установленных действующим законодательством Российской Федерации, дополнительно раскрываются причины отклонения от требований, а также план мероприятий по нормализации показателей.</w:t>
            </w:r>
          </w:p>
        </w:tc>
      </w:tr>
      <w:tr>
        <w:tc>
          <w:tcPr/>
          <w:p>
            <w:pPr>
              <w:jc w:val="left"/>
            </w:pPr>
            <w:r>
              <w:t xml:space="preserve">Так как Минфин России на 01.01.2019 не утвердил методику расчета чистых активов (ЧА) в госсекторе, а также для учреждений госсектора нет информации о нижней границы допустимых лимитов, учреждение расчет ЧА не производило.Понятие чистых активов введено ФСБУ "Концептуальные основы бухгалтерского учета и отчетности организаций государственного сектора", утвержденным Приказом Минфина России от 31.12.2016 N 256н. Их величина рассчитывается как разница между активами и обязательствами учреждения на определенную дату, за исключением имущества, которым учреждение не отвечает по своим обязательствам..Расчет величины своих чистых активов произведен, ориентируясь на порядок определения стоимости чистых активов для коммерческих организаций (утвержден приказом Минфина от 28.08.2014 № 84н). Стоимость чистых активов определяется по данным бухгалтерского учета (п. 7 Порядка 84н). Показатели активов раскрываются в нетто-оценке, то есть за вычетом любой накопленной амортизации амортизируемых активов, убытков от обесценения, резервов под снижение стоимости материальных запасов и по сомнительным долгам. В связи с включением в расчет иного движимого имущества по остаточной стоимости кроме формы 0503130 использованы показатели формы 0503168. Абсолютная величина чистых активов неинформативна. Для того чтобы оценить финансовую состоятельность учреждения, ее необходимо сравнить с порогом возможной величины чистых активов. Но на сегодняшний день для учреждений госсектора нет информации о том, как определять этот порог. Нормы установлены для коммерческого сектора. Cтоимость чистых активов акционерного общества не может быть ниже величины минимального уставного капитала, которая составляет 100 000 руб. для публичного общества и 10 000 руб. для непубличного общества.</w:t>
            </w:r>
          </w:p>
        </w:tc>
      </w:tr>
      <w:tr>
        <w:tc>
          <w:tcPr/>
          <w:p>
            <w:pPr>
              <w:pStyle w:val="Compact"/>
            </w:pPr>
          </w:p>
        </w:tc>
      </w:tr>
      <w:tr>
        <w:tc>
          <w:tcPr/>
          <w:p>
            <w:pPr>
              <w:jc w:val="left"/>
            </w:pPr>
            <w:r>
              <w:rPr>
                <w:bCs/>
                <w:b/>
              </w:rPr>
              <w:t xml:space="preserve">Детализированная информация о доходах и расходах за отчетный период и аналогичный период прошлого года, систематизированных по степени их существенности по отношению к финансовому результату отчетного периода</w:t>
            </w:r>
          </w:p>
        </w:tc>
      </w:tr>
      <w:tr>
        <w:tc>
          <w:tcPr/>
          <w:p>
            <w:pPr>
              <w:jc w:val="left"/>
            </w:pPr>
            <w:r>
              <w:t xml:space="preserve">Доходы за 2019 год составили 219367.81руб., Доходы за 2020 год составили 268628.85руб.., Расходы за 2019 год составили 65917689,28руб. Расходы за 2020 год составили 74298285.05 руб.</w:t>
            </w:r>
          </w:p>
        </w:tc>
      </w:tr>
      <w:tr>
        <w:tc>
          <w:tcPr/>
          <w:p>
            <w:pPr>
              <w:pStyle w:val="Compact"/>
            </w:pPr>
          </w:p>
        </w:tc>
      </w:tr>
      <w:tr>
        <w:tc>
          <w:tcPr/>
          <w:p>
            <w:pPr>
              <w:jc w:val="left"/>
            </w:pPr>
            <w:r>
              <w:rPr>
                <w:bCs/>
                <w:b/>
              </w:rPr>
              <w:t xml:space="preserve">Иная финансовая и нефинансовая существенная информация, необходимая для понимания пользователями бухгалтерской (финансовой) отчетности финансового положения, финансовых результатов деятельности и движения денежных средств субъекта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Сведения о правопреемственности по всем обязательствам реорганизуемого субъекта бюджетной отчетности в отношении всех кредиторов и должников, включая и обязательства, оспариваемые в суде, а также иная информация, характеризующая показатели бухгалтерской отчетности реорганизуемого субъекта бюджетной отчетности за отчетный период</w:t>
            </w:r>
          </w:p>
        </w:tc>
      </w:tr>
      <w:tr>
        <w:tc>
          <w:tcPr/>
          <w:p>
            <w:pPr>
              <w:jc w:val="left"/>
            </w:pPr>
            <w:r>
              <w:t xml:space="preserve">Реорганизация в 2020 году не проводилась.</w:t>
            </w:r>
          </w:p>
        </w:tc>
      </w:tr>
      <w:tr>
        <w:tc>
          <w:tcPr/>
          <w:p>
            <w:pPr>
              <w:pStyle w:val="Compact"/>
            </w:pPr>
          </w:p>
        </w:tc>
      </w:tr>
      <w:tr>
        <w:tc>
          <w:tcPr/>
          <w:p>
            <w:pPr>
              <w:jc w:val="left"/>
            </w:pPr>
            <w:r>
              <w:rPr>
                <w:bCs/>
                <w:b/>
              </w:rPr>
              <w:t xml:space="preserve">Информация о событии после отчетной даты, которая не используется при формировании показателей бухгалтерской (финансовой) отчетности в целях соблюдения сроков представления бухгалтерской (финансовой) отчетности и (или) в связи с поздним поступлением первичных учетных документов (отражается информация об указанном событии и его оценке в денежном выражении)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обнаруженных ошибок, поступления первичных учетных документов после предельной даты ее представления, но до даты ее принятия уполномоченным органом и требующих внесения изменений в регистры бухгалтерского учета (исправления ошибок в учете отражаются субъектом учета последним днем отчетного периода дополнительной бухгалтерской записью либо бухгалтерской записью, оформленной по способу «Красное сторно» и путем формирования уточненной бухгалтерской (финансовой) отчетности). В Пояснениях к уточненной бухгалтерской (финансовой) отчетности приводится информация об изменениях в ранее представленную бухгалтерскую (финансовую) отчетность, с указанием причин внесения исправлений и их содержания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обнаруженных ошибок, поступления первичных учетных документов после даты принятия бухгалтерской (финансовой) отчетности, но до даты ее утверждения, и требующих внесения изменений в регистры бухгалтерского учета (исправления ошибок в учете отражаются субъектом учета последним днем отчетного периода дополнительной бухгалтерской записью либо бухгалтерской записью, оформленной по способу «Красное сторно» и путем формирования уточненной бухгалтерской (финансовой) отчетности). В Пояснениях к уточненной бухгалтерской (финансовой) отчетности приводится информация об изменениях в ранее представленную бухгалтерскую (финансовую) отчетность, с указанием причин внесения исправлений и их содержания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описание ошибки</w:t>
            </w:r>
          </w:p>
        </w:tc>
      </w:tr>
      <w:tr>
        <w:tc>
          <w:tcPr/>
          <w:p>
            <w:pPr>
              <w:jc w:val="left"/>
            </w:pPr>
            <w:r>
              <w:t xml:space="preserve">В 2020 году обнаружена ошибка 2019 года по начисленным налогам в сумме 5000,00руб.</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сумма корректировки по каждой статье бухгалтерской (финансовой) отчетности за каждый из предшествующих годов, для которых в бухгалтерской (финансовой) отчетности раскрываются сравнительные показатели</w:t>
            </w:r>
          </w:p>
        </w:tc>
      </w:tr>
      <w:tr>
        <w:tc>
          <w:tcPr/>
          <w:p>
            <w:pPr>
              <w:jc w:val="left"/>
            </w:pPr>
            <w:r>
              <w:t xml:space="preserve">Изменения в сумме 5000,00 руб. внесены в разд. 2 «Изменения (пересчеты)» по коду причины 03 на основе данных журнала по прочим операциям (ф. 0504071) с признаком «Исправление ошибок прошлых лет».На основании сведений (ф. 0503173) при составлении бухгалтерской отчетности за отчетный период, в котором были обнаружены ошибки прошлых лет,ф. 0503130 (баланс); ф. 0503121 ф.0503110; ф.0503169Д</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общая сумма корректировки на начало самого раннего из предшествующих годов, для которого в бухгалтерской (финансовой) отчетности раскрываются сравнительные показатели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описание причин, по которым корректировка сравнительных показателей бухгалтерской (финансовой) отчетности за один или несколько предшествующих годов не представляется возможным, а также описание способа отражения исправления ошибки с указанием периода, в котором отражены исправления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положениях учетной политики субъекта учета (о применяемых способах ведения бухгалтерского учета, составе и содержании документов учетной политики)</w:t>
            </w:r>
          </w:p>
        </w:tc>
      </w:tr>
      <w:tr>
        <w:tc>
          <w:tcPr/>
          <w:p>
            <w:pPr>
              <w:jc w:val="left"/>
            </w:pPr>
            <w:r>
              <w:t xml:space="preserve">Учетная политика Учреждения определяет совокупность принципов, правил организации и технологии реализации способов ведения бюджетного учета. Учетная политика разработана с целью формирования в бюджетном учете и отчетности максимально полной, объективной и достоверной информации о наличии имущества, его использовании, о принятых обязательствах, о движении денежных средств, о результатах исполнения бюджета и финансовом результате деятельности Учреждения, необходимой внутренним и внешним пользователям информации. Изменение учетной политики может производиться при следующих условиях:oизменения законодательства Российской Федерации о бухгалтерском учете, нормативных правовых актов, регулирующих ведение бухгалтерского (бюджетного) учета и составление бухгалтерской (финансовой) отчетности;oформирования или утверждения новых правил (способов) ведения бухгалтерского (бюджетного) учета, применение которых позволит представить в бухгалтерской (финансовой) отчетности релевантную и достоверную информацию;oсущественного изменения условий деятельности Учреждения, включая реорганизацию, изменение возложенных полномочий и (или) выполняемых функций.Последствия изменения Учетной политики отражаются в бюджетном учете и бюджетной отчетности в соответствии с требованиями нормативных правовых актов, регулирующих ведение бухгалтерского (бюджетного) учета и составления бухгалтерской (финансовой) отчетности. Бухгалтерский (бюджетный) учет (далее – бюджетный учет) в Учреждении ведется в соответствии с Гражданским кодексом Российский Федерации, Бюджетным кодексом Российской Федерации, Налоговым кодексом Российской Федерации, Трудовым кодексом Российской Федерации, Федеральным законом «О бухгалтерском учете», федеральными стандартами и иными нормативно-правовыми актами, регулирующими бухгалтерский учет. Бюджетный учет ведет структурное подразделение – Бухгалтерия, возглавляемая главным бухгалтером. Ответственным за ведение бюджетного учета в Учреждении является главный бухгалтер. . Бюджетный учет в Учреждении ведется автоматизированным способом на базе универсальной автоматизированной информационной системы «Бюджетный учет» (далее - УАИС «Бюджетный учет») на платформе 1С «Бухгалтерия государственного учреждения», 1С «Зарплата и кадры государственного учреждения». Информация об объектах учета формируется в базах данных используемых программных продуктов. Отражение операций при ведении бюджетного учета осуществляется в соответствии с рабочим планом счетов бюджетного учета (приложение № 1), утвержденным Инструкцией № 157н и Инструкцией № 162н с учетом внесенных изменений и дополнений. Внутренний контроль совершаемых фактов хозяйственной жизни осуществляется в соответствии с положением, приведенным в Приложении к Учетной политике.Постоянный текущий контроль в ходе своей деятельности осуществляют в рамках своих полномочий:Организация работы по принятию к учету и на постоянной основе комиссией по поступлению и выбытию активов, действующей в соответствии с положением. Перечень должностных лиц, имеющих право подписи первичных учетных документов, денежных и расчетных документов, финансовых обязательств, утвержден отдельным приказом Учреждения.Первоначальная стоимость объектов основных средств определяется по справедливой стоимости, установленной методом рыночных цен на дату принятия к учету, в отношении следующих объектов: oбезвозмездно полученных от физических или юридических лиц по договорам дарения, пожертвования и т.п. (за исключением объектов, полученных от организаций государственного сектора при условии, что в передаточных документах указана стоимость таких объектов);oпри выявлении объектов, созданных в рамках проведения ремонтных работ, соответствующих критериям признания объектов основных средств;oвыявленных по результатам инвентаризации.В случае отсутствия информации о рыночных ценах в отношении указанных в настоящем пункте объектах основных средств первоначальная стоимость определяется по методу амортизированной стоимости замещения. 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п. 35 СГС "Основные средства", п. 44 Инструкции № 157н. Амортизация по всем основным средствам начисляется ежемесячно линейным методом. Учет объектов на забалансовом счете 21 ведется по балансовой стоимости введенного в эксплуатацию объекта.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 Выбытие материальных запасов признается по средней фактической стоимости запасов.</w:t>
            </w:r>
          </w:p>
        </w:tc>
      </w:tr>
      <w:tr>
        <w:tc>
          <w:tcPr/>
          <w:p>
            <w:pPr>
              <w:pStyle w:val="Compact"/>
            </w:pPr>
          </w:p>
        </w:tc>
      </w:tr>
      <w:tr>
        <w:tc>
          <w:tcPr/>
          <w:p>
            <w:pPr>
              <w:jc w:val="left"/>
            </w:pPr>
            <w:r>
              <w:rPr>
                <w:bCs/>
                <w:b/>
              </w:rPr>
              <w:t xml:space="preserve">Обоснование изменения учетной политики, в случае если последствия изменения учетной политики, оказали или способны оказать на существенные изменения показателей, отражающих финансовое положение, финансовые результаты деятельности субъекта учета и (или) движение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Содержание изменения учетной политики, в случае если последствия изменения учетной политики, оказали или способны оказать на существенные изменения показателей, отражающих финансовое положение, финансовые результаты деятельности субъекта учета и (или) движение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Порядок отражения последствий изменения учетной политики в бухгалтерской (финансовой) отчетности, включая указание на обстоятельства, в связи с которыми применяется выбранный способ ведения бухгалтерского учета, и дату, с которой он применяется, в случае если последствия изменения учетной политики, оказали или способны оказать на существенные изменения показателей, отражающих финансовое положение, финансовые результаты деятельности субъекта учета и (или) движение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суммах корректировок, связанных с изменением учетной политики, по каждой статье бухгалтерской (финансовой) отчетности за каждый из предшествующих годов, для которых в бухгалтерской (финансовой) отчетности раскрываются сравнительные показатели в случае ретроспективного применения измененной учетной политики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суммах корректировок, относящихся к годам, предшествующим тем, для которых в бухгалтерской (финансовой) отчетности субъекта учета раскрываются сравнительные показатели в случае ретроспективного применения измененной учетной политики. Указанная сумма корректировки раскрывается в отношении сопоставимых показателей в случае, когда такие корректировки возможно определить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Раскрытие информации о применении измененной учетной политики, в случае если раскрытие информации, невозможно осуществить относительно сравнительных показателей по году (годам) предшествующему году изменения учетной политики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Описание изменения оценочного значения, повлиявшего на показатели бухгалтерской (финансовой) отчетности за отчетный период, с указанием денежных (стоимостных) значений таких изменений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Описание изменения оценочного значения, которое повлияет на показатели бухгалтерской (финансовой) отчетности за периоды, следующие за отчетным, с указанием денежных (стоимостных) значений таких изменений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Пояснения причин, почему определить влияние изменения оценочного значения на показатели бухгалтерской (финансовой) отчетности за будущие периоды в денежном (стоимостном) значении не представляется возможным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событиях, подтверждающих условия хозяйственной деятельности на отчетную дату отраженных с учетом событий после отчетной даты, на основании которых сформированы показатели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событиях после отчетной даты, свидетельствующих об условиях деятельности (краткое описание (характеристика) событий после отчетной даты, оценка последствий их наступления в денежном выражении, либо причины невозможности оценки события в денежном выражении)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Описание события после отчетной даты и его оценка в денежном выражении в случае, если для соблюдения сроков представления бухгалтерской (финансовой) отчетности и (или) в связи с поздним поступлением в пределах срока формирования и представления бухгалтерской (финансовой) отчетности первичных учетных документов информация о событии после отчетной даты не отражается в бухгалтерском учете и (или) не используется при формировании показателей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Описание события после отчетной даты и его оценка в денежном выражении в случае, если в период между датой подписания бухгалтерской (финансовой) отчетности и датой ее принятия (утверждения) получена новая информация о событии после отчетной даты и (или) произошло (выявлено) событие, которое в ближайшем будущем окажет существенное влияние на финансовое положение, финансовый результат и (или) движение денежных средств субъекта отчетности, при этом не отражается в бухгалтерском учете и (или) не используется при формировании показателей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положениях учетной политики, устанавливающих особенности признания доходов субъектом учета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Данные об условных обязательствах, формирующие существенную информацию: краткое описание условных обязательств</w:t>
            </w:r>
          </w:p>
        </w:tc>
      </w:tr>
      <w:tr>
        <w:tc>
          <w:tcPr/>
          <w:p>
            <w:pPr>
              <w:jc w:val="left"/>
            </w:pPr>
            <w:r>
              <w:t xml:space="preserve">Условным обязательством считается такое обязательство компании, которое возникло из прошлых событий хозяйственной жизни, и его наличие подтвердится лишь тем, что в будущем произойдет или не произойдет одно или несколько неопределенных событий, не подконтрольных полностью руководству компании (так называемые возможные обязательства). В управе информация отсутствует.</w:t>
            </w:r>
          </w:p>
        </w:tc>
      </w:tr>
      <w:tr>
        <w:tc>
          <w:tcPr/>
          <w:p>
            <w:pPr>
              <w:pStyle w:val="Compact"/>
            </w:pPr>
          </w:p>
        </w:tc>
      </w:tr>
      <w:tr>
        <w:tc>
          <w:tcPr/>
          <w:p>
            <w:pPr>
              <w:jc w:val="left"/>
            </w:pPr>
            <w:r>
              <w:rPr>
                <w:bCs/>
                <w:b/>
              </w:rPr>
              <w:t xml:space="preserve">Данные об условных обязательствах, формирующие существенную информацию: оценка влияния условных обязательств на финансовые показатели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Данные об условных активах, формирующие существенную информацию: краткое описание условных активов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Данные об условных активах, формирующие существенную информацию: оценка влияния условных активов на финансовые показатели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утвержденной учетной политики, принятой для оценки запасов, включая применяемые методы расчета себестоимости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общей балансовой стоимости запасов в разрезе групп запасов, с разделением на учитываемые по первоначальной стоимости, по нормативно-плановой стоимости (цене) для целей распоряжения (реализации), и по справедливой стоимости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сумме запасов, признанных в качестве расходов в отчетном периоде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сумме начисленного резерва под снижение стоимости материальных запасов</w:t>
            </w:r>
          </w:p>
        </w:tc>
      </w:tr>
      <w:tr>
        <w:tc>
          <w:tcPr/>
          <w:p>
            <w:pPr>
              <w:jc w:val="left"/>
            </w:pPr>
            <w:r>
              <w:t xml:space="preserve">Резерв под снижение материальных запасов в управе не начисляется.</w:t>
            </w:r>
          </w:p>
        </w:tc>
      </w:tr>
      <w:tr>
        <w:tc>
          <w:tcPr/>
          <w:p>
            <w:pPr>
              <w:pStyle w:val="Compact"/>
            </w:pPr>
          </w:p>
        </w:tc>
      </w:tr>
      <w:tr>
        <w:tc>
          <w:tcPr/>
          <w:p>
            <w:pPr>
              <w:jc w:val="left"/>
            </w:pPr>
            <w:r>
              <w:rPr>
                <w:bCs/>
                <w:b/>
              </w:rPr>
              <w:t xml:space="preserve">Информация о сумме уменьшения резерва под снижение стоимости материальных запасов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балансовой стоимости запасов, заложенных в качестве обеспечения исполнения обязательств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корректировки финансового результата прошлых лет, в результате первого применения Стандарта от признания запасов, ранее не отраженных в бухгалтерском учете, а также от пересмотра балансовой стоимости запасов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ошибки бухгалтерской (финансовой) отчетности, допущенной в текущем финансовом году (ошибка отчетного года) и выявленной после даты принятия (утверждения) квартальной бухгалтерской (финансовой) отчетности (информация о существенности ошибки, описание ошибки (содержания и суммы), а также суммовых значений выполненных корректировок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каждого долгосрочного договора строительного подряда: способ определения процента исполнения обязательств по долгосрочному договору строительного подряда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каждому долгосрочному договору строительного подряда (за отчетный период и с начала исполнения): величина доходов от реализации; величина себестоимости выполненных работ; величина финансового результата, с выделением суммы, не входящей в себестоимость выполненных работ</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величине расчетов по каждому долгосрочному договору строительного подряда на отчетную дату: по предварительной оплате (авансам полученным), по доходам от реализации, по доходам к предъявлению, информация о причинах возникновения и сроках погашения дебиторской задолженности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иных долгосрочных договоров: величина доходов от реализации (по видам выполненных работ (оказанных услуг)</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объектах учета, признанных при первом применении положений федерального стандарта бухгалтерского учета для организаций государственного сектора «Долгосрочные договоры»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каждого концессионного соглашения: наименование концессионера и реквизиты концессионного соглашения; срок действия концессионного соглашения; описание деятельности, предусмотренной концессионным соглашением; описание изменений существенных условий концессионного соглашения, произошедших в отчетном периоде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данных об имуществе концедента на начало и на конец отчетного периода: состав имущества концедента с указанием балансовой стоимости каждого объекта и суммы накопленной амортизации; сметная стоимость создания и (или) реконструкции объекта концессионного соглашения; фактическая величина инвестиций концессионера в создание и (или) реконструкцию объекта концессионного соглашения; планируемая и фактическая даты ввода в эксплуатацию объекта концессионного соглашения; пояснения в отношении причин изменения раскрываемых показателей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обязательствах концедента на начало и на конец отчетного периода по: финансовому обеспечению (финансированию (возмещению) расходов на создание и (или) реконструкцию объекта концессионного соглашения; финансовому обеспечению (финансированию (возмещению) расходов на использование (эксплуатацию) указанного объекта; возмещению недополученного дохода концессионера; предоставленным концессионеру государственным и (или) муниципальным гарантиям и их исполнению</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доходах концедента: величина доходов от концессионной платы, признанных концедентом в отчетном периоде; величина доходов концедента от создания и (или) реконструкции объекта концессионного соглашения, признанных концедентом в отчетном периоде; величина задолженности концессионера по концессионной плате на отчетную дату с выделением суммы просроченной задолженности концессионера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сметной стоимости создания и (или) реконструкции объекта концессионного соглашения и фактической величины инвестиций концессионера в создание и (или) реконструкцию объекта концессионного соглашения если передача имущества по концессионному соглашению осуществляется без прекращения права оперативного управления в отношении имущества, находящегося у государственного (муниципального) учреждения, или без прекращения права хозяйственного ведения в отношении имущества, принадлежащего государственному (муниципальному) предприятию, учреждению, являющимся балансодержателем передаваемого имущества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Прочая информация</w:t>
            </w:r>
          </w:p>
        </w:tc>
      </w:tr>
      <w:tr>
        <w:tc>
          <w:tcPr/>
          <w:p>
            <w:pPr>
              <w:jc w:val="left"/>
            </w:pPr>
            <w:r>
              <w:t xml:space="preserve">Информация отсутствует.</w:t>
            </w:r>
          </w:p>
        </w:tc>
      </w:tr>
      <w:tr>
        <w:tc>
          <w:tcPr/>
          <w:p>
            <w:pPr>
              <w:pStyle w:val="Compact"/>
            </w:pPr>
          </w:p>
        </w:tc>
      </w:tr>
      <w:tr>
        <w:tc>
          <w:tcPr/>
          <w:p>
            <w:pPr>
              <w:pStyle w:val="Compact"/>
            </w:pPr>
          </w:p>
        </w:tc>
      </w:tr>
    </w:tbl>
    <w:p>
      <w:pPr>
        <w:pStyle w:val="BodyText"/>
      </w:pPr>
      <w:r>
        <w:br/>
      </w:r>
    </w:p>
    <w:p>
      <w:pPr>
        <w:pStyle w:val="BodyText"/>
      </w:pPr>
      <w:r>
        <w:rPr>
          <w:bCs/>
          <w:b/>
        </w:rPr>
        <w:t xml:space="preserve">Информация о причинах отклонений показателей представленных форм отчетности по внутридокументным контрольным соотношениям, установленным в автоматизированной информационной системе Департамента финансов города Москвы (в части допустимых отклонений, требующих пояснений)</w:t>
      </w:r>
    </w:p>
    <w:tbl>
      <w:tblPr>
        <w:tblStyle w:val="Table"/>
        <w:tblW w:type="auto" w:w="0"/>
        <w:tblLook w:firstRow="0" w:lastRow="0" w:firstColumn="0" w:lastColumn="0" w:noHBand="0" w:noVBand="0" w:val="0000"/>
      </w:tblPr>
      <w:tblGrid>
        <w:gridCol w:w="880"/>
        <w:gridCol w:w="880"/>
        <w:gridCol w:w="880"/>
        <w:gridCol w:w="880"/>
        <w:gridCol w:w="880"/>
        <w:gridCol w:w="880"/>
        <w:gridCol w:w="880"/>
        <w:gridCol w:w="880"/>
        <w:gridCol w:w="880"/>
      </w:tblGrid>
      <w:tr>
        <w:tc>
          <w:tcPr/>
          <w:p>
            <w:pPr>
              <w:jc w:val="left"/>
            </w:pPr>
            <w:r>
              <w:rPr>
                <w:bCs/>
                <w:b/>
              </w:rPr>
              <w:t xml:space="preserve">Форма</w:t>
            </w:r>
          </w:p>
        </w:tc>
        <w:tc>
          <w:tcPr/>
          <w:p>
            <w:pPr>
              <w:jc w:val="left"/>
            </w:pPr>
            <w:r>
              <w:rPr>
                <w:bCs/>
                <w:b/>
              </w:rPr>
              <w:t xml:space="preserve">Атрибут</w:t>
            </w:r>
          </w:p>
        </w:tc>
        <w:tc>
          <w:tcPr/>
          <w:p>
            <w:pPr>
              <w:jc w:val="left"/>
            </w:pPr>
            <w:r>
              <w:rPr>
                <w:bCs/>
                <w:b/>
              </w:rPr>
              <w:t xml:space="preserve">Номер КС</w:t>
            </w:r>
          </w:p>
        </w:tc>
        <w:tc>
          <w:tcPr/>
          <w:p>
            <w:pPr>
              <w:jc w:val="left"/>
            </w:pPr>
            <w:r>
              <w:rPr>
                <w:bCs/>
                <w:b/>
              </w:rPr>
              <w:t xml:space="preserve">Описание КС</w:t>
            </w:r>
          </w:p>
        </w:tc>
        <w:tc>
          <w:tcPr/>
          <w:p>
            <w:pPr>
              <w:jc w:val="left"/>
            </w:pPr>
            <w:r>
              <w:rPr>
                <w:bCs/>
                <w:b/>
              </w:rPr>
              <w:t xml:space="preserve">Комментарий КС</w:t>
            </w:r>
          </w:p>
        </w:tc>
        <w:tc>
          <w:tcPr/>
          <w:p>
            <w:pPr>
              <w:jc w:val="left"/>
            </w:pPr>
            <w:r>
              <w:rPr>
                <w:bCs/>
                <w:b/>
              </w:rPr>
              <w:t xml:space="preserve">Значение слева</w:t>
            </w:r>
          </w:p>
        </w:tc>
        <w:tc>
          <w:tcPr/>
          <w:p>
            <w:pPr>
              <w:jc w:val="left"/>
            </w:pPr>
            <w:r>
              <w:rPr>
                <w:bCs/>
                <w:b/>
              </w:rPr>
              <w:t xml:space="preserve">Значение справа</w:t>
            </w:r>
          </w:p>
        </w:tc>
        <w:tc>
          <w:tcPr/>
          <w:p>
            <w:pPr>
              <w:jc w:val="left"/>
            </w:pPr>
            <w:r>
              <w:rPr>
                <w:bCs/>
                <w:b/>
              </w:rPr>
              <w:t xml:space="preserve">Отклонение</w:t>
            </w:r>
          </w:p>
        </w:tc>
        <w:tc>
          <w:tcPr/>
          <w:p>
            <w:pPr>
              <w:jc w:val="left"/>
            </w:pPr>
            <w:r>
              <w:rPr>
                <w:bCs/>
                <w:b/>
              </w:rPr>
              <w:t xml:space="preserve">Пояснение</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c>
          <w:tcPr/>
          <w:p>
            <w:pPr>
              <w:jc w:val="left"/>
            </w:pPr>
            <w:r>
              <w:rPr>
                <w:bCs/>
                <w:b/>
              </w:rPr>
              <w:t xml:space="preserve">4</w:t>
            </w:r>
          </w:p>
        </w:tc>
        <w:tc>
          <w:tcPr/>
          <w:p>
            <w:pPr>
              <w:jc w:val="left"/>
            </w:pPr>
            <w:r>
              <w:rPr>
                <w:bCs/>
                <w:b/>
              </w:rPr>
              <w:t xml:space="preserve">5</w:t>
            </w:r>
          </w:p>
        </w:tc>
        <w:tc>
          <w:tcPr/>
          <w:p>
            <w:pPr>
              <w:jc w:val="left"/>
            </w:pPr>
            <w:r>
              <w:rPr>
                <w:bCs/>
                <w:b/>
              </w:rPr>
              <w:t xml:space="preserve">6</w:t>
            </w:r>
          </w:p>
        </w:tc>
        <w:tc>
          <w:tcPr/>
          <w:p>
            <w:pPr>
              <w:jc w:val="left"/>
            </w:pPr>
            <w:r>
              <w:rPr>
                <w:bCs/>
                <w:b/>
              </w:rPr>
              <w:t xml:space="preserve">7</w:t>
            </w:r>
          </w:p>
        </w:tc>
        <w:tc>
          <w:tcPr/>
          <w:p>
            <w:pPr>
              <w:jc w:val="left"/>
            </w:pPr>
            <w:r>
              <w:rPr>
                <w:bCs/>
                <w:b/>
              </w:rPr>
              <w:t xml:space="preserve">8</w:t>
            </w:r>
          </w:p>
        </w:tc>
        <w:tc>
          <w:tcPr/>
          <w:p>
            <w:pPr>
              <w:jc w:val="left"/>
            </w:pPr>
            <w:r>
              <w:rPr>
                <w:bCs/>
                <w:b/>
              </w:rPr>
              <w:t xml:space="preserve">9</w:t>
            </w:r>
          </w:p>
        </w:tc>
      </w:tr>
      <w:tr>
        <w:tc>
          <w:tcPr/>
          <w:p>
            <w:pPr>
              <w:jc w:val="left"/>
            </w:pPr>
            <w:r>
              <w:t xml:space="preserve">0503169G_БД</w:t>
            </w:r>
          </w:p>
        </w:tc>
        <w:tc>
          <w:tcPr/>
          <w:p>
            <w:pPr>
              <w:jc w:val="left"/>
            </w:pPr>
            <w:r>
              <w:t xml:space="preserve">Вид финансового обеспечения_169=1,Наименование финансового обеспечения_169=бюджетная</w:t>
            </w:r>
          </w:p>
        </w:tc>
        <w:tc>
          <w:tcPr/>
          <w:p>
            <w:pPr>
              <w:jc w:val="left"/>
            </w:pPr>
            <w:r>
              <w:t xml:space="preserve">Р-20</w:t>
            </w:r>
          </w:p>
        </w:tc>
        <w:tc>
          <w:tcPr/>
          <w:p>
            <w:pPr>
              <w:jc w:val="left"/>
            </w:pPr>
            <w:r>
              <w:t xml:space="preserve">т1 гр2</w:t>
            </w:r>
          </w:p>
        </w:tc>
        <w:tc>
          <w:tcPr/>
          <w:p>
            <w:pPr>
              <w:jc w:val="left"/>
            </w:pPr>
            <w:r>
              <w:t xml:space="preserve">Наличие остатков на начало года по данному кбк требует пояснения.</w:t>
            </w:r>
          </w:p>
        </w:tc>
        <w:tc>
          <w:tcPr/>
          <w:p>
            <w:pPr>
              <w:jc w:val="left"/>
            </w:pPr>
            <w:r>
              <w:t xml:space="preserve">5 000,00</w:t>
            </w:r>
          </w:p>
        </w:tc>
        <w:tc>
          <w:tcPr/>
          <w:p>
            <w:pPr>
              <w:jc w:val="left"/>
            </w:pPr>
            <w:r>
              <w:t xml:space="preserve">0</w:t>
            </w:r>
          </w:p>
        </w:tc>
        <w:tc>
          <w:tcPr/>
          <w:p>
            <w:pPr>
              <w:jc w:val="left"/>
            </w:pPr>
            <w:r>
              <w:t xml:space="preserve">5 000,00</w:t>
            </w:r>
          </w:p>
        </w:tc>
        <w:tc>
          <w:tcPr/>
          <w:p>
            <w:pPr>
              <w:jc w:val="left"/>
            </w:pPr>
            <w:r>
              <w:t xml:space="preserve">Доходы от денежных взысканий (штрафов), поступающие в счет погашения задолженности, образовавшейся до 1 января 2020 года</w:t>
            </w:r>
          </w:p>
        </w:tc>
      </w:tr>
    </w:tbl>
    <w:p>
      <w:pPr>
        <w:pStyle w:val="BodyText"/>
      </w:pPr>
      <w:r>
        <w:rPr>
          <w:bCs/>
          <w:b/>
        </w:rPr>
        <w:t xml:space="preserve">Информация о причинах отклонений показателей представленных форм отчетности по междокументным контрольным соотношениям, установленным в автоматизированной информационной системе Департамента финансов города Москвы (в части допустимых отклонений, требующих пояснений)</w:t>
      </w:r>
    </w:p>
    <w:tbl>
      <w:tblPr>
        <w:tblStyle w:val="Table"/>
        <w:tblW w:type="auto" w:w="0"/>
        <w:tblLook w:firstRow="0" w:lastRow="0" w:firstColumn="0" w:lastColumn="0" w:noHBand="0" w:noVBand="0" w:val="0000"/>
      </w:tblPr>
      <w:tblGrid>
        <w:gridCol w:w="720"/>
        <w:gridCol w:w="720"/>
        <w:gridCol w:w="720"/>
        <w:gridCol w:w="720"/>
        <w:gridCol w:w="720"/>
        <w:gridCol w:w="720"/>
        <w:gridCol w:w="720"/>
        <w:gridCol w:w="720"/>
        <w:gridCol w:w="720"/>
        <w:gridCol w:w="720"/>
        <w:gridCol w:w="720"/>
      </w:tblGrid>
      <w:tr>
        <w:tc>
          <w:tcPr/>
          <w:p>
            <w:pPr>
              <w:jc w:val="left"/>
            </w:pPr>
            <w:r>
              <w:rPr>
                <w:bCs/>
                <w:b/>
              </w:rPr>
              <w:t xml:space="preserve">Номер КС</w:t>
            </w:r>
          </w:p>
        </w:tc>
        <w:tc>
          <w:tcPr/>
          <w:p>
            <w:pPr>
              <w:jc w:val="left"/>
            </w:pPr>
            <w:r>
              <w:rPr>
                <w:bCs/>
                <w:b/>
              </w:rPr>
              <w:t xml:space="preserve">Описание КС</w:t>
            </w:r>
          </w:p>
        </w:tc>
        <w:tc>
          <w:tcPr/>
          <w:p>
            <w:pPr>
              <w:jc w:val="left"/>
            </w:pPr>
            <w:r>
              <w:rPr>
                <w:bCs/>
                <w:b/>
              </w:rPr>
              <w:t xml:space="preserve">Комментарий КС</w:t>
            </w:r>
          </w:p>
        </w:tc>
        <w:tc>
          <w:tcPr/>
          <w:p>
            <w:pPr>
              <w:jc w:val="left"/>
            </w:pPr>
            <w:r>
              <w:rPr>
                <w:bCs/>
                <w:b/>
              </w:rPr>
              <w:t xml:space="preserve">Форма слева</w:t>
            </w:r>
          </w:p>
        </w:tc>
        <w:tc>
          <w:tcPr/>
          <w:p>
            <w:pPr>
              <w:jc w:val="left"/>
            </w:pPr>
            <w:r>
              <w:rPr>
                <w:bCs/>
                <w:b/>
              </w:rPr>
              <w:t xml:space="preserve">Атрибут</w:t>
            </w:r>
          </w:p>
        </w:tc>
        <w:tc>
          <w:tcPr/>
          <w:p>
            <w:pPr>
              <w:jc w:val="left"/>
            </w:pPr>
            <w:r>
              <w:rPr>
                <w:bCs/>
                <w:b/>
              </w:rPr>
              <w:t xml:space="preserve">Значение</w:t>
            </w:r>
          </w:p>
        </w:tc>
        <w:tc>
          <w:tcPr/>
          <w:p>
            <w:pPr>
              <w:jc w:val="left"/>
            </w:pPr>
            <w:r>
              <w:rPr>
                <w:bCs/>
                <w:b/>
              </w:rPr>
              <w:t xml:space="preserve">Форма справа</w:t>
            </w:r>
          </w:p>
        </w:tc>
        <w:tc>
          <w:tcPr/>
          <w:p>
            <w:pPr>
              <w:jc w:val="left"/>
            </w:pPr>
            <w:r>
              <w:rPr>
                <w:bCs/>
                <w:b/>
              </w:rPr>
              <w:t xml:space="preserve">Атрибут</w:t>
            </w:r>
          </w:p>
        </w:tc>
        <w:tc>
          <w:tcPr/>
          <w:p>
            <w:pPr>
              <w:jc w:val="left"/>
            </w:pPr>
            <w:r>
              <w:rPr>
                <w:bCs/>
                <w:b/>
              </w:rPr>
              <w:t xml:space="preserve">Значение</w:t>
            </w:r>
          </w:p>
        </w:tc>
        <w:tc>
          <w:tcPr/>
          <w:p>
            <w:pPr>
              <w:jc w:val="left"/>
            </w:pPr>
            <w:r>
              <w:rPr>
                <w:bCs/>
                <w:b/>
              </w:rPr>
              <w:t xml:space="preserve">Отклонение</w:t>
            </w:r>
          </w:p>
        </w:tc>
        <w:tc>
          <w:tcPr/>
          <w:p>
            <w:pPr>
              <w:jc w:val="left"/>
            </w:pPr>
            <w:r>
              <w:rPr>
                <w:bCs/>
                <w:b/>
              </w:rPr>
              <w:t xml:space="preserve">Пояснение</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c>
          <w:tcPr/>
          <w:p>
            <w:pPr>
              <w:jc w:val="left"/>
            </w:pPr>
            <w:r>
              <w:rPr>
                <w:bCs/>
                <w:b/>
              </w:rPr>
              <w:t xml:space="preserve">4</w:t>
            </w:r>
          </w:p>
        </w:tc>
        <w:tc>
          <w:tcPr/>
          <w:p>
            <w:pPr>
              <w:jc w:val="left"/>
            </w:pPr>
            <w:r>
              <w:rPr>
                <w:bCs/>
                <w:b/>
              </w:rPr>
              <w:t xml:space="preserve">5</w:t>
            </w:r>
          </w:p>
        </w:tc>
        <w:tc>
          <w:tcPr/>
          <w:p>
            <w:pPr>
              <w:jc w:val="left"/>
            </w:pPr>
            <w:r>
              <w:rPr>
                <w:bCs/>
                <w:b/>
              </w:rPr>
              <w:t xml:space="preserve">6</w:t>
            </w:r>
          </w:p>
        </w:tc>
        <w:tc>
          <w:tcPr/>
          <w:p>
            <w:pPr>
              <w:jc w:val="left"/>
            </w:pPr>
            <w:r>
              <w:rPr>
                <w:bCs/>
                <w:b/>
              </w:rPr>
              <w:t xml:space="preserve">7</w:t>
            </w:r>
          </w:p>
        </w:tc>
        <w:tc>
          <w:tcPr/>
          <w:p>
            <w:pPr>
              <w:jc w:val="left"/>
            </w:pPr>
            <w:r>
              <w:rPr>
                <w:bCs/>
                <w:b/>
              </w:rPr>
              <w:t xml:space="preserve">8</w:t>
            </w:r>
          </w:p>
        </w:tc>
        <w:tc>
          <w:tcPr/>
          <w:p>
            <w:pPr>
              <w:jc w:val="left"/>
            </w:pPr>
            <w:r>
              <w:rPr>
                <w:bCs/>
                <w:b/>
              </w:rPr>
              <w:t xml:space="preserve">9</w:t>
            </w:r>
          </w:p>
        </w:tc>
        <w:tc>
          <w:tcPr/>
          <w:p>
            <w:pPr>
              <w:jc w:val="left"/>
            </w:pPr>
            <w:r>
              <w:rPr>
                <w:bCs/>
                <w:b/>
              </w:rPr>
              <w:t xml:space="preserve">10</w:t>
            </w:r>
          </w:p>
        </w:tc>
        <w:tc>
          <w:tcPr/>
          <w:p>
            <w:pPr>
              <w:jc w:val="left"/>
            </w:pPr>
            <w:r>
              <w:rPr>
                <w:bCs/>
                <w:b/>
              </w:rPr>
              <w:t xml:space="preserve">11</w:t>
            </w:r>
          </w:p>
        </w:tc>
      </w:tr>
      <w:tr>
        <w:tc>
          <w:tcPr/>
          <w:p>
            <w:pPr>
              <w:jc w:val="left"/>
            </w:pPr>
            <w:r>
              <w:t xml:space="preserve">ФК-2-1.1_169-2</w:t>
            </w:r>
          </w:p>
        </w:tc>
        <w:tc>
          <w:tcPr/>
          <w:p>
            <w:pPr>
              <w:jc w:val="left"/>
            </w:pPr>
            <w:r>
              <w:t xml:space="preserve">0503169G_БД т4 гр2 = 0503169G_БД т4 гр9 2019г</w:t>
            </w:r>
          </w:p>
        </w:tc>
        <w:tc>
          <w:tcPr/>
          <w:p>
            <w:pPr>
              <w:jc w:val="left"/>
            </w:pPr>
            <w:r>
              <w:t xml:space="preserve">Сумма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w:t>
            </w:r>
          </w:p>
        </w:tc>
        <w:tc>
          <w:tcPr/>
          <w:p>
            <w:pPr>
              <w:jc w:val="left"/>
            </w:pPr>
            <w:r>
              <w:t xml:space="preserve">0503169G_БД</w:t>
            </w:r>
          </w:p>
        </w:tc>
        <w:tc>
          <w:tcPr/>
          <w:p>
            <w:pPr>
              <w:jc w:val="left"/>
            </w:pPr>
            <w:r>
              <w:t xml:space="preserve">Вид финансового обеспечения_169=1,Наименование финансового обеспечения_169=бюджетная</w:t>
            </w:r>
          </w:p>
        </w:tc>
        <w:tc>
          <w:tcPr/>
          <w:p>
            <w:pPr>
              <w:jc w:val="left"/>
            </w:pPr>
            <w:r>
              <w:t xml:space="preserve">37 000,00</w:t>
            </w:r>
          </w:p>
        </w:tc>
        <w:tc>
          <w:tcPr/>
          <w:p>
            <w:pPr>
              <w:jc w:val="left"/>
            </w:pPr>
            <w:r>
              <w:t xml:space="preserve">0503169G_БД</w:t>
            </w:r>
          </w:p>
        </w:tc>
        <w:tc>
          <w:tcPr/>
          <w:p>
            <w:pPr>
              <w:jc w:val="left"/>
            </w:pPr>
            <w:r>
              <w:t xml:space="preserve">Код ВФО=1,Наименование финансового обеспечения_169=бюджетная</w:t>
            </w:r>
          </w:p>
        </w:tc>
        <w:tc>
          <w:tcPr/>
          <w:p>
            <w:pPr>
              <w:jc w:val="left"/>
            </w:pPr>
            <w:r>
              <w:t xml:space="preserve">0</w:t>
            </w:r>
          </w:p>
        </w:tc>
        <w:tc>
          <w:tcPr/>
          <w:p>
            <w:pPr>
              <w:jc w:val="left"/>
            </w:pPr>
            <w:r>
              <w:t xml:space="preserve">37 000,00</w:t>
            </w:r>
          </w:p>
        </w:tc>
        <w:tc>
          <w:tcPr/>
          <w:p>
            <w:pPr>
              <w:jc w:val="left"/>
            </w:pPr>
            <w:r>
              <w:t xml:space="preserve">Увеличение за счет поступивших доходов.</w:t>
            </w:r>
          </w:p>
        </w:tc>
      </w:tr>
      <w:tr>
        <w:tc>
          <w:tcPr/>
          <w:p>
            <w:pPr>
              <w:jc w:val="left"/>
            </w:pPr>
            <w:r>
              <w:t xml:space="preserve">ФК-2-1_169-4</w:t>
            </w:r>
          </w:p>
        </w:tc>
        <w:tc>
          <w:tcPr/>
          <w:p>
            <w:pPr>
              <w:jc w:val="left"/>
            </w:pPr>
            <w:r>
              <w:t xml:space="preserve">0503169G_БД т4 гр2 = 0503169G_БД т4 гр9 2019г</w:t>
            </w:r>
          </w:p>
        </w:tc>
        <w:tc>
          <w:tcPr/>
          <w:p>
            <w:pPr>
              <w:jc w:val="left"/>
            </w:pPr>
            <w:r>
              <w:t xml:space="preserve">Сумма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w:t>
            </w:r>
          </w:p>
        </w:tc>
        <w:tc>
          <w:tcPr/>
          <w:p>
            <w:pPr>
              <w:jc w:val="left"/>
            </w:pPr>
            <w:r>
              <w:t xml:space="preserve">0503169G_БД</w:t>
            </w:r>
          </w:p>
        </w:tc>
        <w:tc>
          <w:tcPr/>
          <w:p>
            <w:pPr>
              <w:jc w:val="left"/>
            </w:pPr>
            <w:r>
              <w:t xml:space="preserve">Вид финансового обеспечения_169=1,Наименование финансового обеспечения_169=бюджетная</w:t>
            </w:r>
          </w:p>
        </w:tc>
        <w:tc>
          <w:tcPr/>
          <w:p>
            <w:pPr>
              <w:jc w:val="left"/>
            </w:pPr>
            <w:r>
              <w:t xml:space="preserve">37 000,00</w:t>
            </w:r>
          </w:p>
        </w:tc>
        <w:tc>
          <w:tcPr/>
          <w:p>
            <w:pPr>
              <w:jc w:val="left"/>
            </w:pPr>
            <w:r>
              <w:t xml:space="preserve">0503169G_БД</w:t>
            </w:r>
          </w:p>
        </w:tc>
        <w:tc>
          <w:tcPr/>
          <w:p>
            <w:pPr>
              <w:jc w:val="left"/>
            </w:pPr>
            <w:r>
              <w:t xml:space="preserve">Код ВФО=1,Наименование финансового обеспечения_169=бюджетная</w:t>
            </w:r>
          </w:p>
        </w:tc>
        <w:tc>
          <w:tcPr/>
          <w:p>
            <w:pPr>
              <w:jc w:val="left"/>
            </w:pPr>
            <w:r>
              <w:t xml:space="preserve">0</w:t>
            </w:r>
          </w:p>
        </w:tc>
        <w:tc>
          <w:tcPr/>
          <w:p>
            <w:pPr>
              <w:jc w:val="left"/>
            </w:pPr>
            <w:r>
              <w:t xml:space="preserve">37 000,00</w:t>
            </w:r>
          </w:p>
        </w:tc>
        <w:tc>
          <w:tcPr/>
          <w:p>
            <w:pPr>
              <w:jc w:val="left"/>
            </w:pPr>
            <w:r>
              <w:t xml:space="preserve">Увеличение за счет поступивших доходов.</w:t>
            </w:r>
          </w:p>
        </w:tc>
      </w:tr>
      <w:tr>
        <w:tc>
          <w:tcPr/>
          <w:p>
            <w:pPr>
              <w:jc w:val="left"/>
            </w:pPr>
            <w:r>
              <w:t xml:space="preserve">ФК-2-1_169-4</w:t>
            </w:r>
          </w:p>
        </w:tc>
        <w:tc>
          <w:tcPr/>
          <w:p>
            <w:pPr>
              <w:jc w:val="left"/>
            </w:pPr>
            <w:r>
              <w:t xml:space="preserve">0503169G_БД т4 гр2 = 0503169G_БД т4 гр9 2019г</w:t>
            </w:r>
          </w:p>
        </w:tc>
        <w:tc>
          <w:tcPr/>
          <w:p>
            <w:pPr>
              <w:jc w:val="left"/>
            </w:pPr>
            <w:r>
              <w:t xml:space="preserve">Сумма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w:t>
            </w:r>
          </w:p>
        </w:tc>
        <w:tc>
          <w:tcPr/>
          <w:p>
            <w:pPr>
              <w:jc w:val="left"/>
            </w:pPr>
            <w:r>
              <w:t xml:space="preserve">0503169G_БД</w:t>
            </w:r>
          </w:p>
        </w:tc>
        <w:tc>
          <w:tcPr/>
          <w:p>
            <w:pPr>
              <w:jc w:val="left"/>
            </w:pPr>
            <w:r>
              <w:t xml:space="preserve">Вид финансового обеспечения_169=1,Наименование финансового обеспечения_169=бюджетная</w:t>
            </w:r>
          </w:p>
        </w:tc>
        <w:tc>
          <w:tcPr/>
          <w:p>
            <w:pPr>
              <w:jc w:val="left"/>
            </w:pPr>
            <w:r>
              <w:t xml:space="preserve">53 684,29</w:t>
            </w:r>
          </w:p>
        </w:tc>
        <w:tc>
          <w:tcPr/>
          <w:p>
            <w:pPr>
              <w:jc w:val="left"/>
            </w:pPr>
            <w:r>
              <w:t xml:space="preserve">0503169G_БД</w:t>
            </w:r>
          </w:p>
        </w:tc>
        <w:tc>
          <w:tcPr/>
          <w:p>
            <w:pPr>
              <w:jc w:val="left"/>
            </w:pPr>
            <w:r>
              <w:t xml:space="preserve">Код ВФО=1,Наименование финансового обеспечения_169=бюджетная</w:t>
            </w:r>
          </w:p>
        </w:tc>
        <w:tc>
          <w:tcPr/>
          <w:p>
            <w:pPr>
              <w:jc w:val="left"/>
            </w:pPr>
            <w:r>
              <w:t xml:space="preserve">16 684,29</w:t>
            </w:r>
          </w:p>
        </w:tc>
        <w:tc>
          <w:tcPr/>
          <w:p>
            <w:pPr>
              <w:jc w:val="left"/>
            </w:pPr>
            <w:r>
              <w:t xml:space="preserve">37 000,00</w:t>
            </w:r>
          </w:p>
        </w:tc>
        <w:tc>
          <w:tcPr/>
          <w:p>
            <w:pPr>
              <w:jc w:val="left"/>
            </w:pPr>
            <w:r>
              <w:t xml:space="preserve">Увеличение за счет поступивших доходов.</w:t>
            </w:r>
          </w:p>
        </w:tc>
      </w:tr>
    </w:tbl>
    <w:p/>
    <w:tbl>
      <w:tblPr>
        <w:tblStyle w:val="Table"/>
        <w:tblW w:type="auto" w:w="0"/>
        <w:tblLook w:firstRow="0" w:lastRow="0" w:firstColumn="0" w:lastColumn="0" w:noHBand="0" w:noVBand="0" w:val="0000"/>
      </w:tblPr>
      <w:tblGrid>
        <w:gridCol w:w="2640"/>
        <w:gridCol w:w="2640"/>
        <w:gridCol w:w="2640"/>
      </w:tblGrid>
      <w:tr>
        <w:tc>
          <w:tcPr/>
          <w:p>
            <w:pPr>
              <w:jc w:val="left"/>
            </w:pPr>
            <w:r>
              <w:t xml:space="preserve">Руководитель</w:t>
            </w:r>
          </w:p>
        </w:tc>
        <w:tc>
          <w:tcPr/>
          <w:p>
            <w:pPr>
              <w:pStyle w:val="Compact"/>
            </w:pPr>
          </w:p>
        </w:tc>
        <w:tc>
          <w:tcPr/>
          <w:p>
            <w:pPr>
              <w:jc w:val="left"/>
            </w:pPr>
            <w:r>
              <w:t xml:space="preserve">Орлова Светлана Анатольевна</w:t>
            </w:r>
          </w:p>
        </w:tc>
      </w:tr>
      <w:tr>
        <w:tc>
          <w:tcPr/>
          <w:p>
            <w:pPr>
              <w:pStyle w:val="Compact"/>
            </w:pPr>
          </w:p>
        </w:tc>
        <w:tc>
          <w:tcPr/>
          <w:p>
            <w:pPr>
              <w:jc w:val="left"/>
            </w:pPr>
            <w:r>
              <w:t xml:space="preserve">(подпись)</w:t>
            </w:r>
          </w:p>
        </w:tc>
        <w:tc>
          <w:tcPr/>
          <w:p>
            <w:pPr>
              <w:jc w:val="left"/>
            </w:pPr>
            <w:r>
              <w:t xml:space="preserve">(расшифровка подписи)</w:t>
            </w:r>
          </w:p>
        </w:tc>
      </w:tr>
      <w:tr>
        <w:tc>
          <w:tcPr>
            <w:gridSpan w:val="3"/>
          </w:tcPr>
          <w:p>
            <w:pPr>
              <w:pStyle w:val="Compact"/>
            </w:pPr>
          </w:p>
        </w:tc>
      </w:tr>
      <w:tr>
        <w:tc>
          <w:tcPr/>
          <w:p>
            <w:pPr>
              <w:jc w:val="left"/>
            </w:pPr>
            <w:r>
              <w:t xml:space="preserve">Руководитель планово-</w:t>
            </w:r>
          </w:p>
        </w:tc>
        <w:tc>
          <w:tcPr/>
          <w:p>
            <w:pPr>
              <w:pStyle w:val="Compact"/>
            </w:pPr>
          </w:p>
        </w:tc>
        <w:tc>
          <w:tcPr/>
          <w:p>
            <w:pPr>
              <w:jc w:val="left"/>
            </w:pPr>
            <w:r>
              <w:t xml:space="preserve">Козина Оксана Ивановна</w:t>
            </w:r>
          </w:p>
        </w:tc>
      </w:tr>
      <w:tr>
        <w:tc>
          <w:tcPr/>
          <w:p>
            <w:pPr>
              <w:jc w:val="left"/>
            </w:pPr>
            <w:r>
              <w:t xml:space="preserve">экономической службы</w:t>
            </w:r>
          </w:p>
        </w:tc>
        <w:tc>
          <w:tcPr/>
          <w:p>
            <w:pPr>
              <w:jc w:val="left"/>
            </w:pPr>
            <w:r>
              <w:t xml:space="preserve">(подпись)</w:t>
            </w:r>
          </w:p>
        </w:tc>
        <w:tc>
          <w:tcPr/>
          <w:p>
            <w:pPr>
              <w:jc w:val="left"/>
            </w:pPr>
            <w:r>
              <w:t xml:space="preserve">(расшифровка подписи)</w:t>
            </w:r>
          </w:p>
        </w:tc>
      </w:tr>
      <w:tr>
        <w:tc>
          <w:tcPr>
            <w:gridSpan w:val="3"/>
          </w:tcPr>
          <w:p>
            <w:pPr>
              <w:pStyle w:val="Compact"/>
            </w:pPr>
          </w:p>
        </w:tc>
      </w:tr>
      <w:tr>
        <w:tc>
          <w:tcPr/>
          <w:p>
            <w:pPr>
              <w:jc w:val="left"/>
            </w:pPr>
            <w:r>
              <w:t xml:space="preserve">Главный</w:t>
            </w:r>
          </w:p>
        </w:tc>
        <w:tc>
          <w:tcPr/>
          <w:p>
            <w:pPr>
              <w:pStyle w:val="Compact"/>
            </w:pPr>
          </w:p>
        </w:tc>
        <w:tc>
          <w:tcPr/>
          <w:p>
            <w:pPr>
              <w:jc w:val="left"/>
            </w:pPr>
            <w:r>
              <w:t xml:space="preserve">Васильева Ольга Александровна</w:t>
            </w:r>
          </w:p>
        </w:tc>
      </w:tr>
      <w:tr>
        <w:tc>
          <w:tcPr/>
          <w:p>
            <w:pPr>
              <w:jc w:val="left"/>
            </w:pPr>
            <w:r>
              <w:t xml:space="preserve">бухгалтер</w:t>
            </w:r>
          </w:p>
        </w:tc>
        <w:tc>
          <w:tcPr/>
          <w:p>
            <w:pPr>
              <w:jc w:val="left"/>
            </w:pPr>
            <w:r>
              <w:t xml:space="preserve">(подпись)</w:t>
            </w:r>
          </w:p>
        </w:tc>
        <w:tc>
          <w:tcPr/>
          <w:p>
            <w:pPr>
              <w:jc w:val="left"/>
            </w:pPr>
            <w:r>
              <w:t xml:space="preserve">(расшифровка подписи)</w:t>
            </w:r>
          </w:p>
        </w:tc>
      </w:tr>
    </w:tbl>
    <w:p>
      <w:pPr>
        <w:pStyle w:val="BodyText"/>
      </w:pPr>
      <w:bookmarkStart w:id="20" w:name="X472cf3ef901f6faed7b0ee9ea22641dec5e91ec"/>
      <w:bookmarkEnd w:id="20"/>
    </w:p>
    <w:p>
      <w:pPr>
        <w:pStyle w:val="BodyText"/>
      </w:pPr>
      <w:bookmarkStart w:id="21" w:name="Xe3acfc2d299fecaa09c1d43c58b036129b007b6"/>
      <w:bookmarkEnd w:id="21"/>
    </w:p>
    <w:tbl>
      <w:tblPr>
        <w:tblStyle w:val="Table"/>
        <w:tblW w:type="pct" w:w="5000"/>
        <w:tblLook w:firstRow="0" w:lastRow="0" w:firstColumn="0" w:lastColumn="0" w:noHBand="0" w:noVBand="0" w:val="0000"/>
      </w:tblPr>
      <w:tblGrid>
        <w:gridCol w:w="1584"/>
        <w:gridCol w:w="1584"/>
        <w:gridCol w:w="1584"/>
        <w:gridCol w:w="1584"/>
        <w:gridCol w:w="1584"/>
      </w:tblGrid>
      <w:tr>
        <w:tc>
          <w:tcPr/>
          <w:p>
            <w:pPr>
              <w:pStyle w:val="Compact"/>
            </w:pPr>
          </w:p>
        </w:tc>
        <w:tc>
          <w:tcPr/>
          <w:p>
            <w:pPr>
              <w:pStyle w:val="Compact"/>
            </w:pPr>
          </w:p>
        </w:tc>
        <w:tc>
          <w:tcPr/>
          <w:p>
            <w:pPr>
              <w:jc w:val="left"/>
            </w:pPr>
            <w:r>
              <w:t xml:space="preserve">ПОЯСНИТЕЛЬНАЯ ЗАПИСКА</w:t>
            </w: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jc w:val="left"/>
            </w:pPr>
            <w:r>
              <w:t xml:space="preserve">КОДЫ</w:t>
            </w:r>
          </w:p>
        </w:tc>
      </w:tr>
      <w:tr>
        <w:tc>
          <w:tcPr/>
          <w:p>
            <w:pPr>
              <w:pStyle w:val="Compact"/>
            </w:pPr>
          </w:p>
        </w:tc>
        <w:tc>
          <w:tcPr>
            <w:vMerge w:val="restart"/>
          </w:tcPr>
          <w:p>
            <w:pPr>
              <w:pStyle w:val="Compact"/>
            </w:pPr>
          </w:p>
        </w:tc>
        <w:tc>
          <w:tcPr>
            <w:vMerge w:val="restart"/>
          </w:tcPr>
          <w:p>
            <w:pPr>
              <w:jc w:val="left"/>
            </w:pPr>
            <w:r>
              <w:t xml:space="preserve">на 1 января 2021 года</w:t>
            </w:r>
          </w:p>
        </w:tc>
        <w:tc>
          <w:tcPr>
            <w:vMerge w:val="restart"/>
          </w:tcPr>
          <w:p>
            <w:pPr>
              <w:jc w:val="left"/>
            </w:pPr>
            <w:r>
              <w:t xml:space="preserve">Форма по ОКУД</w:t>
            </w:r>
          </w:p>
        </w:tc>
        <w:tc>
          <w:tcPr>
            <w:vMerge w:val="restart"/>
          </w:tcPr>
          <w:p>
            <w:pPr>
              <w:jc w:val="left"/>
            </w:pPr>
            <w:r>
              <w:t xml:space="preserve">0503160</w:t>
            </w:r>
          </w:p>
        </w:tc>
      </w:tr>
      <w:tr>
        <w:tc>
          <w:tcPr/>
          <w:p>
            <w:pPr>
              <w:pStyle w:val="Compact"/>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r>
      <w:tr>
        <w:tc>
          <w:tcPr/>
          <w:p>
            <w:pPr>
              <w:pStyle w:val="Compact"/>
            </w:pPr>
          </w:p>
        </w:tc>
        <w:tc>
          <w:tcPr/>
          <w:p>
            <w:pPr>
              <w:pStyle w:val="Compact"/>
            </w:pPr>
          </w:p>
        </w:tc>
        <w:tc>
          <w:tcPr/>
          <w:p>
            <w:pPr>
              <w:pStyle w:val="Compact"/>
            </w:pPr>
          </w:p>
        </w:tc>
        <w:tc>
          <w:tcPr/>
          <w:p>
            <w:pPr>
              <w:jc w:val="left"/>
            </w:pPr>
            <w:r>
              <w:t xml:space="preserve">Дата</w:t>
            </w:r>
          </w:p>
        </w:tc>
        <w:tc>
          <w:tcPr/>
          <w:p>
            <w:pPr>
              <w:jc w:val="left"/>
            </w:pPr>
            <w:r>
              <w:t xml:space="preserve">01.01.2021</w:t>
            </w:r>
          </w:p>
        </w:tc>
      </w:tr>
      <w:tr>
        <w:tc>
          <w:tcPr>
            <w:gridSpan w:val="2"/>
            <w:vMerge w:val="restart"/>
          </w:tcPr>
          <w:p>
            <w:pPr>
              <w:jc w:val="left"/>
            </w:pPr>
            <w:r>
              <w:t xml:space="preserve">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w:t>
            </w:r>
          </w:p>
        </w:tc>
        <w:tc>
          <w:tcPr/>
          <w:p>
            <w:pPr>
              <w:pStyle w:val="Compact"/>
            </w:pPr>
          </w:p>
        </w:tc>
        <w:tc>
          <w:tcPr>
            <w:vMerge w:val="restart"/>
          </w:tcPr>
          <w:p>
            <w:pPr>
              <w:jc w:val="left"/>
            </w:pPr>
            <w:r>
              <w:t xml:space="preserve">по ОКПО</w:t>
            </w:r>
          </w:p>
        </w:tc>
        <w:tc>
          <w:tcPr>
            <w:vMerge w:val="restart"/>
          </w:tcPr>
          <w:p>
            <w:pPr>
              <w:jc w:val="left"/>
            </w:pPr>
            <w:r>
              <w:br/>
            </w:r>
            <w:r>
              <w:t xml:space="preserve">13554549</w:t>
            </w: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jc w:val="left"/>
            </w:pPr>
            <w:r>
              <w:t xml:space="preserve">управа Красносельского района города Москвы</w:t>
            </w:r>
          </w:p>
        </w:tc>
        <w:tc>
          <w:tcPr/>
          <w:p>
            <w:pPr>
              <w:jc w:val="left"/>
            </w:pPr>
            <w:r>
              <w:t xml:space="preserve">Глава по БК</w:t>
            </w:r>
          </w:p>
        </w:tc>
        <w:tc>
          <w:tcPr/>
          <w:p>
            <w:pPr>
              <w:jc w:val="left"/>
            </w:pPr>
            <w:r>
              <w:t xml:space="preserve">961</w:t>
            </w:r>
          </w:p>
        </w:tc>
      </w:tr>
      <w:tr>
        <w:tc>
          <w:tcPr>
            <w:gridSpan w:val="2"/>
          </w:tcPr>
          <w:p>
            <w:pPr>
              <w:jc w:val="left"/>
            </w:pPr>
            <w:r>
              <w:t xml:space="preserve">Наименование бюджета (публично-правового образования)</w:t>
            </w:r>
          </w:p>
        </w:tc>
        <w:tc>
          <w:tcPr/>
          <w:p>
            <w:pPr>
              <w:jc w:val="left"/>
            </w:pPr>
            <w:r>
              <w:rPr>
                <w:bCs/>
                <w:b/>
              </w:rPr>
              <w:t xml:space="preserve">Бюджет города Москвы</w:t>
            </w:r>
          </w:p>
        </w:tc>
        <w:tc>
          <w:tcPr>
            <w:vMerge w:val="restart"/>
          </w:tcPr>
          <w:p>
            <w:pPr>
              <w:jc w:val="left"/>
            </w:pPr>
            <w:r>
              <w:t xml:space="preserve">по ОКТМО</w:t>
            </w:r>
          </w:p>
        </w:tc>
        <w:tc>
          <w:tcPr>
            <w:vMerge w:val="restart"/>
          </w:tcPr>
          <w:p>
            <w:pPr>
              <w:jc w:val="left"/>
            </w:pPr>
            <w:r>
              <w:t xml:space="preserve">45378000</w:t>
            </w:r>
          </w:p>
        </w:tc>
      </w:tr>
      <w:tr>
        <w:tc>
          <w:tcPr/>
          <w:p>
            <w:pPr>
              <w:pStyle w:val="Compact"/>
            </w:pPr>
          </w:p>
        </w:tc>
        <w:tc>
          <w:tcPr/>
          <w:p>
            <w:pPr>
              <w:pStyle w:val="Compact"/>
            </w:pPr>
          </w:p>
        </w:tc>
        <w:tc>
          <w:tcPr/>
          <w:p>
            <w:pPr>
              <w:pStyle w:val="Compact"/>
            </w:pPr>
          </w:p>
        </w:tc>
        <w:tc>
          <w:tcPr>
            <w:gridSpan w:val="1"/>
            <w:vMerge w:val="continue"/>
          </w:tcPr>
          <w:p>
            <w:pPr/>
          </w:p>
        </w:tc>
        <w:tc>
          <w:tcPr>
            <w:gridSpan w:val="1"/>
            <w:vMerge w:val="continue"/>
          </w:tcPr>
          <w:p>
            <w:pPr/>
          </w:p>
        </w:tc>
      </w:tr>
      <w:tr>
        <w:tc>
          <w:tcPr/>
          <w:p>
            <w:pPr>
              <w:jc w:val="left"/>
            </w:pPr>
            <w:r>
              <w:t xml:space="preserve">Периодичность:</w:t>
            </w:r>
          </w:p>
        </w:tc>
        <w:tc>
          <w:tcPr>
            <w:gridSpan w:val="2"/>
          </w:tcPr>
          <w:p>
            <w:pPr>
              <w:jc w:val="left"/>
            </w:pPr>
            <w:r>
              <w:t xml:space="preserve">годовая</w:t>
            </w:r>
          </w:p>
        </w:tc>
        <w:tc>
          <w:tcPr/>
          <w:p>
            <w:pPr>
              <w:pStyle w:val="Compact"/>
            </w:pPr>
          </w:p>
        </w:tc>
        <w:tc>
          <w:tcPr/>
          <w:p>
            <w:pPr>
              <w:pStyle w:val="Compact"/>
            </w:pPr>
          </w:p>
        </w:tc>
      </w:tr>
      <w:tr>
        <w:tc>
          <w:tcPr>
            <w:gridSpan w:val="3"/>
          </w:tcPr>
          <w:p>
            <w:pPr>
              <w:jc w:val="left"/>
            </w:pPr>
            <w:r>
              <w:t xml:space="preserve">Единица измерения: руб.</w:t>
            </w:r>
          </w:p>
        </w:tc>
        <w:tc>
          <w:tcPr/>
          <w:p>
            <w:pPr>
              <w:jc w:val="left"/>
            </w:pPr>
            <w:r>
              <w:t xml:space="preserve">по ОКЕИ</w:t>
            </w:r>
          </w:p>
        </w:tc>
        <w:tc>
          <w:tcPr/>
          <w:p>
            <w:pPr>
              <w:jc w:val="left"/>
            </w:pPr>
            <w:r>
              <w:t xml:space="preserve">383</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gridSpan w:val="3"/>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gridSpan w:val="3"/>
          </w:tcPr>
          <w:p>
            <w:pPr>
              <w:pStyle w:val="Compact"/>
            </w:pPr>
          </w:p>
        </w:tc>
      </w:tr>
    </w:tbl>
    <w:p>
      <w:pPr>
        <w:pStyle w:val="BodyText"/>
      </w:pPr>
      <w:r>
        <w:rPr>
          <w:bCs/>
          <w:b/>
        </w:rPr>
        <w:t xml:space="preserve">Раздел 1 «Организационная структура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месте нахождения и организационно-правовой форме субъекта отчетности</w:t>
            </w:r>
          </w:p>
        </w:tc>
      </w:tr>
      <w:tr>
        <w:tc>
          <w:tcPr/>
          <w:p>
            <w:pPr>
              <w:jc w:val="left"/>
            </w:pPr>
            <w:r>
              <w:t xml:space="preserve">Полное наименование: Управа Красносельского района города Москвы" зарегистрирована 18 декабря 2002 года по адресу 107140, МОСКВА Г, КРАСНОСЕЛЬСКАЯ НИЖН. УЛ, ДОМ 5, СТРОЕНИЕ 7. Основным видом деятельности является (ОКОПФ-20904;ОКВЭД-О84.11.22) - Деятельность органов государственной власти субъектов Российской Федерации по осуществлению своих полномочий в городах и районах. Управу возглавляет Глава Орлова СВЕТЛАНА АНАТОЛЬЕВНА.</w:t>
            </w:r>
          </w:p>
        </w:tc>
      </w:tr>
      <w:tr>
        <w:tc>
          <w:tcPr/>
          <w:p>
            <w:pPr>
              <w:pStyle w:val="Compact"/>
            </w:pPr>
          </w:p>
        </w:tc>
      </w:tr>
      <w:tr>
        <w:tc>
          <w:tcPr/>
          <w:p>
            <w:pPr>
              <w:jc w:val="left"/>
            </w:pPr>
            <w:r>
              <w:rPr>
                <w:bCs/>
                <w:b/>
              </w:rPr>
              <w:t xml:space="preserve">Сведения об изменениях наименования субъекта за отчетный период, если такие изменения производились</w:t>
            </w:r>
          </w:p>
        </w:tc>
      </w:tr>
      <w:tr>
        <w:tc>
          <w:tcPr/>
          <w:p>
            <w:pPr>
              <w:jc w:val="left"/>
            </w:pPr>
            <w:r>
              <w:t xml:space="preserve">Изменения наименования за отчетный период не проводились.</w:t>
            </w:r>
          </w:p>
        </w:tc>
      </w:tr>
      <w:tr>
        <w:tc>
          <w:tcPr/>
          <w:p>
            <w:pPr>
              <w:pStyle w:val="Compact"/>
            </w:pPr>
          </w:p>
        </w:tc>
      </w:tr>
      <w:tr>
        <w:tc>
          <w:tcPr/>
          <w:p>
            <w:pPr>
              <w:jc w:val="left"/>
            </w:pPr>
            <w:r>
              <w:rPr>
                <w:bCs/>
                <w:b/>
              </w:rPr>
              <w:t xml:space="preserve">Перечень основных нормативных правовых актов, регламентирующих деятельность субъекта отчетности</w:t>
            </w:r>
          </w:p>
        </w:tc>
      </w:tr>
      <w:tr>
        <w:tc>
          <w:tcPr/>
          <w:p>
            <w:pPr>
              <w:jc w:val="left"/>
            </w:pPr>
            <w:r>
              <w:t xml:space="preserve">В своей деятельности управа руководствуется Конституцией Российской Федерации, федеральными законами и иными нормативными правовыми актами Российской Федерации, Бюджетный кодекс РФ, который действует на всей территории РФ и устанавливает общие принципы бюджетного законодательства РФ, определяет группировку доходов и расходов, а также источников финансирования дефицита бюджетов бюджетной системы России; Федеральный закон «О бухгалтерском учете» от 06.12. 2011 № 402-ФЗ (ред. от 26.07.2019 г. , который определяет полномочия по ведению бухгалтерского (бюджетного) учета и устанавливает единые требования к ведению бухгалтерского учета; Уставом города Москвы, законами города Москвы и иными правовыми актами города Москвы, а также Положением, утвержденным Постановлением Правительства Москвы от 24 февраля 2010 года № 157-ПП «О полномочиях территориальных органов исполнительной власти города Москвы».Налоговый кодекс Российской Федерации (части первая от 31июля 1998 г. N 146-ФЗ и вторая от 5 августа 2000 г. N 117-ФЗ) споследующими дополнениями и изменениями. Приказ Министерства финансов Российской Федерации от 6декабря 2010 г. N 162н "Об утверждении Плана счетовбюджетного учета и Инструкции по его применению". Приказ Министерства финансов Российской Федерации от 1июля 2013 г. N 65н "Об утверждении Указаний о порядкеприменения бюджетной классификации Российской Федерации"</w:t>
            </w:r>
          </w:p>
        </w:tc>
      </w:tr>
      <w:tr>
        <w:tc>
          <w:tcPr/>
          <w:p>
            <w:pPr>
              <w:pStyle w:val="Compact"/>
            </w:pPr>
          </w:p>
        </w:tc>
      </w:tr>
      <w:tr>
        <w:tc>
          <w:tcPr/>
          <w:p>
            <w:pPr>
              <w:jc w:val="left"/>
            </w:pPr>
            <w:r>
              <w:rPr>
                <w:bCs/>
                <w:b/>
              </w:rPr>
              <w:t xml:space="preserve">Наименование учредителя субъекта отчетности (для подведомственных получателей бюджетных средств)</w:t>
            </w:r>
          </w:p>
        </w:tc>
      </w:tr>
      <w:tr>
        <w:tc>
          <w:tcPr/>
          <w:p>
            <w:pPr>
              <w:jc w:val="left"/>
            </w:pPr>
            <w:r>
              <w:t xml:space="preserve">Учредителем управы Красносельского района города Москвы является Правительство Москвы. Координацию и контроль за деятельностью управы района осуществляет префект Центрального административного округа города Москвы (далее - административный округ) в пределах полномочий, установленных правовыми актами города Москвы</w:t>
            </w:r>
          </w:p>
        </w:tc>
      </w:tr>
      <w:tr>
        <w:tc>
          <w:tcPr/>
          <w:p>
            <w:pPr>
              <w:pStyle w:val="Compact"/>
            </w:pPr>
          </w:p>
        </w:tc>
      </w:tr>
      <w:tr>
        <w:tc>
          <w:tcPr/>
          <w:p>
            <w:pPr>
              <w:jc w:val="left"/>
            </w:pPr>
            <w:r>
              <w:rPr>
                <w:bCs/>
                <w:b/>
              </w:rPr>
              <w:t xml:space="preserve">Наименование органа, осуществляющего внешний государственный (муниципальный) финансовый контроль</w:t>
            </w:r>
          </w:p>
        </w:tc>
      </w:tr>
      <w:tr>
        <w:tc>
          <w:tcPr/>
          <w:p>
            <w:pPr>
              <w:jc w:val="left"/>
            </w:pPr>
            <w:r>
              <w:t xml:space="preserve">Внешний государственный (муниципальный) финансовый контроль осуществляет Контрольно-счетная палата Москвы</w:t>
            </w:r>
          </w:p>
        </w:tc>
      </w:tr>
      <w:tr>
        <w:tc>
          <w:tcPr/>
          <w:p>
            <w:pPr>
              <w:pStyle w:val="Compact"/>
            </w:pPr>
          </w:p>
        </w:tc>
      </w:tr>
      <w:tr>
        <w:tc>
          <w:tcPr/>
          <w:p>
            <w:pPr>
              <w:jc w:val="left"/>
            </w:pPr>
            <w:r>
              <w:rPr>
                <w:bCs/>
                <w:b/>
              </w:rPr>
              <w:t xml:space="preserve">Информация о субъектах отчетности, созданных на определенный срок, с указанием сроков их деятельности</w:t>
            </w:r>
          </w:p>
        </w:tc>
      </w:tr>
      <w:tr>
        <w:tc>
          <w:tcPr/>
          <w:p>
            <w:pPr>
              <w:pStyle w:val="Compact"/>
            </w:pPr>
          </w:p>
        </w:tc>
      </w:tr>
      <w:tr>
        <w:tc>
          <w:tcPr/>
          <w:p>
            <w:pPr>
              <w:pStyle w:val="Compact"/>
            </w:pPr>
          </w:p>
        </w:tc>
      </w:tr>
      <w:tr>
        <w:tc>
          <w:tcPr/>
          <w:p>
            <w:pPr>
              <w:jc w:val="left"/>
            </w:pPr>
            <w:r>
              <w:rPr>
                <w:bCs/>
                <w:b/>
              </w:rPr>
              <w:t xml:space="preserve">Сведения об основных направлениях деятельности</w:t>
            </w:r>
          </w:p>
        </w:tc>
      </w:tr>
      <w:tr>
        <w:tc>
          <w:tcPr/>
          <w:p>
            <w:pPr>
              <w:jc w:val="left"/>
            </w:pPr>
            <w:r>
              <w:t xml:space="preserve">Управа представляет интересы Правительства Москвы, обеспечивает в пределах своих полномочий и под свою ответственность решение вопросов местного (районного) значения, осуществляет руководство хозяйственными и социальными службами района, являющимися структурными подразделениями администрации района. Деятельность управы Красносельского района направлена на удовлетворение потребностей населения в социально-культурных, коммунально-бытовых и других жизненно важных областях жизни.Управа обеспечивает повышение эффективности местного хозяйства, решение социально-культурных, экологических задач, а также рациональное использование трудовых, природных и других местных ресурсов, создание необходимых условий жизни и отдыха населения</w:t>
            </w:r>
          </w:p>
        </w:tc>
      </w:tr>
      <w:tr>
        <w:tc>
          <w:tcPr/>
          <w:p>
            <w:pPr>
              <w:pStyle w:val="Compact"/>
            </w:pPr>
          </w:p>
        </w:tc>
      </w:tr>
      <w:tr>
        <w:tc>
          <w:tcPr/>
          <w:p>
            <w:pPr>
              <w:jc w:val="left"/>
            </w:pPr>
            <w:r>
              <w:rPr>
                <w:bCs/>
                <w:b/>
              </w:rPr>
              <w:t xml:space="preserve">Иная информация о деятельности субъекта отчетности, существенная для понимания пользователями отчетности финансового положения, финансовых результатах деятельности и движении денежных средств</w:t>
            </w:r>
          </w:p>
        </w:tc>
      </w:tr>
      <w:tr>
        <w:tc>
          <w:tcPr/>
          <w:p>
            <w:pPr>
              <w:jc w:val="left"/>
            </w:pPr>
            <w:r>
              <w:t xml:space="preserve">Управа района осуществляет свою деятельность во взаимодействии с федеральными органами власти, органами государственной власти города Москвы, органами местного самоуправления, общественными объединениями и гражданами.Учреждение является юридическим лицом, самостоятельно ведет финансово-хозяйственную деятельность, имеетсамостоятельный баланс и лицевой счет, обладает обособленным имуществом, закрепленным на праве оперативного управления.Учреждение является получателем бюджетных средств, финансируется за счет средств городского бюджета. Код главы главного распорядителя бюджетных средств 961. В отделении N 21 УФК по г. Москве управе открыты номера лицевых счетов : 0396112000451533 – получателя бюджетных средств; 02196132000451533 – для учета операций со средствами, поступающими во временное распоряжение получателя бюджетных средств; 04732961020-лицевой счет администратора доходов.Управа вправе от своего имени заключать договоры, приобретать и осуществлять имущественные и личные неимущественные права, нести ответственность, быть истцом и ответчиком в суде, арбитражном суде. Управа не имеет права предоставлять и получать кредиты (займы), приобретать ценные бумаги. Субсидии и бюджетные кредиты управе не предоставляются.</w:t>
            </w:r>
          </w:p>
        </w:tc>
      </w:tr>
      <w:tr>
        <w:tc>
          <w:tcPr/>
          <w:p>
            <w:pPr>
              <w:pStyle w:val="Compact"/>
            </w:pPr>
          </w:p>
        </w:tc>
      </w:tr>
      <w:tr>
        <w:tc>
          <w:tcPr/>
          <w:p>
            <w:pPr>
              <w:jc w:val="left"/>
            </w:pPr>
            <w:r>
              <w:rPr>
                <w:bCs/>
                <w:b/>
              </w:rPr>
              <w:t xml:space="preserve">Информация о наличии подведомственных государственных (муниципальных) учреждений, подтвержденная данными из ЕГРЮЛ</w:t>
            </w:r>
          </w:p>
        </w:tc>
      </w:tr>
      <w:tr>
        <w:tc>
          <w:tcPr/>
          <w:p>
            <w:pPr>
              <w:pStyle w:val="Compact"/>
            </w:pPr>
          </w:p>
        </w:tc>
      </w:tr>
      <w:tr>
        <w:tc>
          <w:tcPr/>
          <w:p>
            <w:pPr>
              <w:pStyle w:val="Compact"/>
            </w:pPr>
          </w:p>
        </w:tc>
      </w:tr>
      <w:tr>
        <w:tc>
          <w:tcPr/>
          <w:p>
            <w:pPr>
              <w:jc w:val="left"/>
            </w:pPr>
            <w:r>
              <w:rPr>
                <w:bCs/>
                <w:b/>
              </w:rPr>
              <w:t xml:space="preserve">Информация о произошедших за отчетный период изменениях количества подведомственных государственных (муниципальных) учреждений (реорганизации (слияние, присоединение, разделение, выделение, преобразование), ликвидации, изменении типа государственных учреждений, передаче учреждений между бюджетами с указанием причин изменений количества по сравнению с началом отчетного периода</w:t>
            </w:r>
          </w:p>
        </w:tc>
      </w:tr>
      <w:tr>
        <w:tc>
          <w:tcPr/>
          <w:p>
            <w:pPr>
              <w:pStyle w:val="Compact"/>
            </w:pPr>
          </w:p>
        </w:tc>
      </w:tr>
      <w:tr>
        <w:tc>
          <w:tcPr/>
          <w:p>
            <w:pPr>
              <w:pStyle w:val="Compact"/>
            </w:pPr>
          </w:p>
        </w:tc>
      </w:tr>
      <w:tr>
        <w:tc>
          <w:tcPr/>
          <w:p>
            <w:pPr>
              <w:jc w:val="left"/>
            </w:pPr>
            <w:r>
              <w:rPr>
                <w:bCs/>
                <w:b/>
              </w:rPr>
              <w:t xml:space="preserve">Информация о наличии государственных (муниципальных) унитарных и казенных предприятий и изменениях их количества, функций, произошедших за отчетный период, подтвержденная данными из ЕГРЮЛ</w:t>
            </w:r>
          </w:p>
        </w:tc>
      </w:tr>
      <w:tr>
        <w:tc>
          <w:tcPr/>
          <w:p>
            <w:pPr>
              <w:pStyle w:val="Compact"/>
            </w:pPr>
          </w:p>
        </w:tc>
      </w:tr>
      <w:tr>
        <w:tc>
          <w:tcPr/>
          <w:p>
            <w:pPr>
              <w:pStyle w:val="Compact"/>
            </w:pPr>
          </w:p>
        </w:tc>
      </w:tr>
      <w:tr>
        <w:tc>
          <w:tcPr/>
          <w:p>
            <w:pPr>
              <w:jc w:val="left"/>
            </w:pPr>
            <w:r>
              <w:rPr>
                <w:bCs/>
                <w:b/>
              </w:rPr>
              <w:t xml:space="preserve">Информация о наличии филиалов (обособленных подразделений) учреждения по состоянию на отчетную дату с указанием причин, произошедших в течение отчетного периода изменений количества филиалов (обособленных подразделений)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состава бюджетных полномочий получателей, распорядителей бюджетных средств, находящихся в ведении главного распорядителя (распорядителя) бюджетных средств, а также администраторов, находящихся в ведении главных администраторов источников финансирования дефицита бюджета, главных администраторов доходов бюджета</w:t>
            </w:r>
          </w:p>
        </w:tc>
      </w:tr>
      <w:tr>
        <w:tc>
          <w:tcPr/>
          <w:p>
            <w:pPr>
              <w:jc w:val="left"/>
            </w:pPr>
            <w:r>
              <w:t xml:space="preserve">Бюджетные полномочия в отчетном периоде у учреждения не изменялись. Бюджетная отчетность составляется на следующие даты: месячная - на первое число месяца, следующего за отчетным, квартальная - по состоянию на 1 апреля, 1 июля и 1 октября текущего года, годовая - на 1 января года, следующего за отчетным.3. Отчетным годом является календарный год - с 1 января по 31 декабря включительно. Месячная и квартальная отчетность является промежуточной и составляется нарастающим итогом с начала текущего финансового года.</w:t>
            </w:r>
          </w:p>
        </w:tc>
      </w:tr>
      <w:tr>
        <w:tc>
          <w:tcPr/>
          <w:p>
            <w:pPr>
              <w:pStyle w:val="Compact"/>
            </w:pPr>
          </w:p>
        </w:tc>
      </w:tr>
      <w:tr>
        <w:tc>
          <w:tcPr/>
          <w:p>
            <w:pPr>
              <w:jc w:val="left"/>
            </w:pPr>
            <w:r>
              <w:rPr>
                <w:bCs/>
                <w:b/>
              </w:rPr>
              <w:t xml:space="preserve">Информация о передаче полномочий по ведению бухгалтерского учета иному учреждению (централизованной бухгалтерии) на основании договора (соглашения) с указанием их реквизитов</w:t>
            </w:r>
          </w:p>
        </w:tc>
      </w:tr>
      <w:tr>
        <w:tc>
          <w:tcPr/>
          <w:p>
            <w:pPr>
              <w:jc w:val="left"/>
            </w:pPr>
            <w:r>
              <w:t xml:space="preserve">Информация о передаче полномочий по ведению бухгалтерского учета иной организации (централизованной бухгалтерии) на основании договора (соглашения) с указанием их реквизитов отсутствует.Полномочия по ведению бухгалтерского учета принадлежат бухгалтерии управы Красносельского района города Москвы, которую возглавляет главный бухгалтер.</w:t>
            </w:r>
          </w:p>
        </w:tc>
      </w:tr>
      <w:tr>
        <w:tc>
          <w:tcPr/>
          <w:p>
            <w:pPr>
              <w:pStyle w:val="Compact"/>
            </w:pPr>
          </w:p>
        </w:tc>
      </w:tr>
      <w:tr>
        <w:tc>
          <w:tcPr/>
          <w:p>
            <w:pPr>
              <w:jc w:val="left"/>
            </w:pPr>
            <w:r>
              <w:rPr>
                <w:bCs/>
                <w:b/>
              </w:rPr>
              <w:t xml:space="preserve">Информация об исполнителе (ФИО, должность) централизованной бухгалтерии, составившем бухгалтерскую отчетность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оказавшая существенное влияние и характеризующая организационную структуру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Учреждение является юридическим лицом, самостоятельно ведет финансово-хозяйственную деятельность. Бухгалтерский учет осуществляется отделом бухгалтерского учета, организации и проведения конкурсов и аукционов (далее – бухгалтерия), возглавляемым начальником отдела – главным бухгалтером. Деятельность бухгалтерии регламентируется должностными регламентами сотрудников. Касса для выдачи наличных денежных средств в учреждении отсутствует. Все расчеты осуществляются в безналичном порядке.</w:t>
            </w:r>
          </w:p>
        </w:tc>
      </w:tr>
      <w:tr>
        <w:tc>
          <w:tcPr/>
          <w:p>
            <w:pPr>
              <w:pStyle w:val="Compact"/>
            </w:pPr>
          </w:p>
        </w:tc>
      </w:tr>
      <w:tr>
        <w:tc>
          <w:tcPr/>
          <w:p>
            <w:pPr>
              <w:jc w:val="left"/>
            </w:pPr>
            <w:r>
              <w:rPr>
                <w:bCs/>
                <w:b/>
              </w:rPr>
              <w:t xml:space="preserve">Прочая информация</w:t>
            </w:r>
          </w:p>
        </w:tc>
      </w:tr>
      <w:tr>
        <w:tc>
          <w:tcPr/>
          <w:p>
            <w:pPr>
              <w:jc w:val="left"/>
            </w:pPr>
            <w:r>
              <w:t xml:space="preserve">В ведомственном подчинении управы находится 2 учреждения – 2 типа учреждений:1. Государственное казенное учреждение - ГКУ «ИС Красносельского района»,2. Государственное бюджетное учреждение ГБУ «Жилищник Красносельского района. Учредителем учреждений является префектура Центрального административного округа города Москвы. Учреждения имеют обособленное имущество, самостоятельный баланс, лицевой счет, печать со своим наименованием, бланки, штампы. Учреждения осуществляют свою деятельность в соответствии с законами и иными нормативными правовыми актами Российской Федерации, а также уставом. Учреждения созданы для оказания (выполнения) государственных услуг, работ и государственных функций в сфере функционирования жилищно-коммунального хозяйства и благоустройства города Москвы.</w:t>
            </w:r>
          </w:p>
        </w:tc>
      </w:tr>
      <w:tr>
        <w:tc>
          <w:tcPr/>
          <w:p>
            <w:pPr>
              <w:pStyle w:val="Compact"/>
            </w:pPr>
          </w:p>
        </w:tc>
      </w:tr>
      <w:tr>
        <w:tc>
          <w:tcPr/>
          <w:p>
            <w:pPr>
              <w:pStyle w:val="Compact"/>
            </w:pPr>
          </w:p>
        </w:tc>
      </w:tr>
    </w:tbl>
    <w:p>
      <w:pPr>
        <w:pStyle w:val="BodyText"/>
      </w:pPr>
      <w:r>
        <w:rPr>
          <w:bCs/>
          <w:b/>
        </w:rPr>
        <w:t xml:space="preserve">Раздел 2 «Результаты деятельности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результатах деятельности получателей бюджетных средств (казенных учреждений) при исполнении ими государственного (муниципального) задания</w:t>
            </w:r>
          </w:p>
        </w:tc>
      </w:tr>
      <w:tr>
        <w:tc>
          <w:tcPr/>
          <w:p>
            <w:pPr>
              <w:jc w:val="left"/>
            </w:pPr>
            <w:r>
              <w:t xml:space="preserve">Информация о результатах деятельности получателей бюджетных средств (казенных учреждений) представляется в годовой бюджетной отчетности и своднойБухгалтерской отчетности в соответствии с требованиями Инструкции о порядке составления и представления годовой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 (в редакции от 30.11.2018 № 244н) (далее - Инструкция № 191н)</w:t>
            </w:r>
          </w:p>
        </w:tc>
      </w:tr>
      <w:tr>
        <w:tc>
          <w:tcPr/>
          <w:p>
            <w:pPr>
              <w:pStyle w:val="Compact"/>
            </w:pPr>
          </w:p>
        </w:tc>
      </w:tr>
      <w:tr>
        <w:tc>
          <w:tcPr/>
          <w:p>
            <w:pPr>
              <w:jc w:val="left"/>
            </w:pPr>
            <w:r>
              <w:rPr>
                <w:bCs/>
                <w:b/>
              </w:rPr>
              <w:t xml:space="preserve">Наименование и место публикации отчета, в котором содержится информация о результатах исполнения субъектами отчетности (казенные учреждения) государственного (муниципального) задания</w:t>
            </w:r>
          </w:p>
        </w:tc>
      </w:tr>
      <w:tr>
        <w:tc>
          <w:tcPr/>
          <w:p>
            <w:pPr>
              <w:jc w:val="left"/>
            </w:pPr>
            <w:r>
              <w:t xml:space="preserve">Официальный сайт для размещения информации о результатах исполнения отчетности:http://krasnoselsky.mos.ru</w:t>
            </w:r>
          </w:p>
        </w:tc>
      </w:tr>
      <w:tr>
        <w:tc>
          <w:tcPr/>
          <w:p>
            <w:pPr>
              <w:pStyle w:val="Compact"/>
            </w:pPr>
          </w:p>
        </w:tc>
      </w:tr>
      <w:tr>
        <w:tc>
          <w:tcPr/>
          <w:p>
            <w:pPr>
              <w:jc w:val="left"/>
            </w:pPr>
            <w:r>
              <w:rPr>
                <w:bCs/>
                <w:b/>
              </w:rPr>
              <w:t xml:space="preserve">Информация, оказавшая существенное влияние и характеризующая результаты деятельности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Заключение государственных контрактов на поставки товаров, выполнение работ,оказание услуг для государственных нужд округа осуществлялось в пределах утвержденных бюджетных ассигнований в соответствии с утвержденной бюджетной сметой учреждения.В управе Красносельского района города Москвы проводится систематический контроль за составлением заключенных договоров, контролиролируется составление заключаемых договоров в пределах утвержденных лимитов бюджетных обязательств и законностью совершаемых операций, проводится анализ соответствия кассовых расходов с производимыми фактическими расходами, проводится проверка составления перечня и номенклатуры полученных товаров (работ, услуг) и номенклатуры оплачиваемых товаров (работ, услуг) согласно договора.</w:t>
            </w:r>
          </w:p>
        </w:tc>
      </w:tr>
      <w:tr>
        <w:tc>
          <w:tcPr/>
          <w:p>
            <w:pPr>
              <w:pStyle w:val="Compact"/>
            </w:pPr>
          </w:p>
        </w:tc>
      </w:tr>
      <w:tr>
        <w:tc>
          <w:tcPr/>
          <w:p>
            <w:pPr>
              <w:jc w:val="left"/>
            </w:pPr>
            <w:r>
              <w:rPr>
                <w:bCs/>
                <w:b/>
              </w:rPr>
              <w:t xml:space="preserve">Сведения о ресурсах, используемых для достижения показателей результативности деятельности субъекта бюджетной отчетности: численность работников - штатная и среднесписочная численность</w:t>
            </w:r>
          </w:p>
        </w:tc>
      </w:tr>
      <w:tr>
        <w:tc>
          <w:tcPr/>
          <w:p>
            <w:pPr>
              <w:jc w:val="left"/>
            </w:pPr>
            <w:r>
              <w:t xml:space="preserve">По состоянию на 01.01.2021года численность работников государственной гражданской службы по штатному расписанию - 33 штатная единица , из них 1 шт. ед. - глава управы, 4 шт. ед. - заместитель главы управы, 26 шт. ед. - государственные гражданские служащие. Фактическая средняя численность работников государственной гражданской службы составляет 27 человек, из них 1 шт. ед. - глава управы, 4 шт. ед. - заместитель главы управы, 27 шт. ед. - государственные гражданские служащие. В 2020 г. повысили квалификацию 14 специалистов.</w:t>
            </w:r>
          </w:p>
        </w:tc>
      </w:tr>
      <w:tr>
        <w:tc>
          <w:tcPr/>
          <w:p>
            <w:pPr>
              <w:pStyle w:val="Compact"/>
            </w:pPr>
          </w:p>
        </w:tc>
      </w:tr>
      <w:tr>
        <w:tc>
          <w:tcPr/>
          <w:p>
            <w:pPr>
              <w:jc w:val="left"/>
            </w:pPr>
            <w:r>
              <w:rPr>
                <w:bCs/>
                <w:b/>
              </w:rPr>
              <w:t xml:space="preserve">Сведения о ресурсах, используемых для достижения показателей результативности деятельности субъекта бюджетной отчетности: стоимость имущества - общая балансовая стоимость основных средств</w:t>
            </w:r>
          </w:p>
        </w:tc>
      </w:tr>
      <w:tr>
        <w:tc>
          <w:tcPr/>
          <w:p>
            <w:pPr>
              <w:jc w:val="left"/>
            </w:pPr>
            <w:r>
              <w:t xml:space="preserve">Балансовая стоимость основных средств в течение года увеличилась на 12,0 % за счет: безвозмездной передачи Департаментом городского имущества города Москвы балансовой стоимости помещений, находящихся в оперативном учете управы в сумме- 580 357,02 руб.; безвозмездной передачи префектурой ЦАО оборудования в сумме 2878213,26 руб. Общая балансовая стоимость основных средств на начало 01.01.2021 года составляет-37 306 700,30руб. в том числе:недвижимое имущество (нежилые помещения) – 11 834 290,50 руб.; машины и оборудование-14 141 929,02 руб.; инвентарь-8093076,48 руб..; прочие-3237404,37 руб.</w:t>
            </w:r>
          </w:p>
        </w:tc>
      </w:tr>
      <w:tr>
        <w:tc>
          <w:tcPr/>
          <w:p>
            <w:pPr>
              <w:pStyle w:val="Compact"/>
            </w:pPr>
          </w:p>
        </w:tc>
      </w:tr>
      <w:tr>
        <w:tc>
          <w:tcPr/>
          <w:p>
            <w:pPr>
              <w:jc w:val="left"/>
            </w:pPr>
            <w:r>
              <w:rPr>
                <w:bCs/>
                <w:b/>
              </w:rPr>
              <w:t xml:space="preserve">Сведения о ресурсах, используемых для достижения показателей результативности деятельности субъекта бюджетной отчетности: объемы бюджетных расходов</w:t>
            </w:r>
          </w:p>
        </w:tc>
      </w:tr>
      <w:tr>
        <w:tc>
          <w:tcPr/>
          <w:p>
            <w:pPr>
              <w:jc w:val="left"/>
            </w:pPr>
            <w:r>
              <w:t xml:space="preserve">На содержание управы утверждено –75 746240,14 руб. Исполнение – 74 298 285,05 руб. или 98,1%, По КОСГУ 211 (Заработная плата) исполнение – 100%. и составило-43 202 200руб.; По КОСГУ 213 (Начисления на оплату труда) исполнение -12 032289,28руб.; 0314 17А 0200 000 «Участие города Москвы в охране общественного порядка и обеспечении общественной безопасности» утверждены ассигнования 22140руб., исполнено-20 296 руб., что составило92%, 0314 35Е 0100 100 «Материально-техническое обеспечение, оплата услуг по содержанию помещений для организации работы общественных пунктов охраны порядка» утверждены ассигнования 589449,86 руб., исполнено 584529,81 руб., или 9,2%;0804 09Г 0700 300 «Содержание помещений, предназначенных для досуговой и социально-воспитательной работы с населением по месту жительства» 2389384,39 руб., исполнение составило 1 888794,77 руб., или 79,0%; 1006 35Е 0100 100 «Материально-техническое обеспечение, оплата услуг по содержанию помещений для организации работы совета ветеранов» утверждены ассигнования 958900,00 руб., исполнение составило 769559,47 руб. ; 0804 35Е 0100 100 «Праздничные и социально-значимые мероприятия для населения в области культуры и кинематографии» утверждены ассигнования 1465500руб.руб.; 1003 35Е 0100 100 «Оказание социально-бытовых услуг льготным категориям граждан, оказание адресной материальной помощи в натуральном и денежном выражении» утверждены ассигнования 150,,00 тыс. руб., исполнение составило 150,00 тыс.руб., 12 гражданам района оказана материальная помощь.</w:t>
            </w:r>
          </w:p>
        </w:tc>
      </w:tr>
      <w:tr>
        <w:tc>
          <w:tcPr/>
          <w:p>
            <w:pPr>
              <w:pStyle w:val="Compact"/>
            </w:pPr>
          </w:p>
        </w:tc>
      </w:tr>
      <w:tr>
        <w:tc>
          <w:tcPr/>
          <w:p>
            <w:pPr>
              <w:jc w:val="left"/>
            </w:pPr>
            <w:r>
              <w:rPr>
                <w:bCs/>
                <w:b/>
              </w:rPr>
              <w:t xml:space="preserve">Сведения о ресурсах, используемых для достижения показателей результативности деятельности субъекта бюджетной отчетности: объемы закупок</w:t>
            </w:r>
          </w:p>
        </w:tc>
      </w:tr>
      <w:tr>
        <w:tc>
          <w:tcPr/>
          <w:p>
            <w:pPr>
              <w:jc w:val="left"/>
            </w:pPr>
            <w:r>
              <w:t xml:space="preserve">В целях повышения эффективности использования бюджетных средств размещение государственного заказа на поставку товаров, выполнение работ, оказание услуг для государственных нужд осуществляется на конкурсной основе в соответствии с Законом № 44-ФЗ от 05.04.2013, мониторинга цен при закупке товара, услуг малыми объемами (до 300,0 тысяч рублей) в электронном магазине.Заключение государственных контрактов на поставки товаров, выполнение работ, оказание услуг для государственных нужд округа осуществлялось в пределах утвержденных бюджетных ассигнований в соответствии с утвержденными бюджетными сметами учреждений.В управе Красносельского района города Москвы проводится систематический контроль за составлением заключенных договоров, контролиролируется составление заключаемых договоров в пределах утвержденных лимитов бюджетных обязательств и законностью совершаемых операций, проводится анализ соответствия кассовых расходов с производимыми фактическими расходами, проводится проверка составления перечня и номенклатуры полученных товаров (работ, услуг) и номенклатуры оплачиваемых товаров (работ, услуг) согласно договора.31 096085,05 руб., кассовое исполнение .</w:t>
            </w:r>
          </w:p>
        </w:tc>
      </w:tr>
      <w:tr>
        <w:tc>
          <w:tcPr/>
          <w:p>
            <w:pPr>
              <w:pStyle w:val="Compact"/>
            </w:pPr>
          </w:p>
        </w:tc>
      </w:tr>
      <w:tr>
        <w:tc>
          <w:tcPr/>
          <w:p>
            <w:pPr>
              <w:jc w:val="left"/>
            </w:pPr>
            <w:r>
              <w:rPr>
                <w:bCs/>
                <w:b/>
              </w:rPr>
              <w:t xml:space="preserve">Сведения об иных ресурсах, используемых для достижения показателей результативности деятельности субъекта бюджетной отчетности</w:t>
            </w:r>
          </w:p>
        </w:tc>
      </w:tr>
      <w:tr>
        <w:tc>
          <w:tcPr/>
          <w:p>
            <w:pPr>
              <w:jc w:val="left"/>
            </w:pPr>
            <w:r>
              <w:t xml:space="preserve">Лимиты потребления теплоэнергоресурсов соблюдаются. Перерасхода нет</w:t>
            </w:r>
          </w:p>
        </w:tc>
      </w:tr>
      <w:tr>
        <w:tc>
          <w:tcPr/>
          <w:p>
            <w:pPr>
              <w:pStyle w:val="Compact"/>
            </w:pPr>
          </w:p>
        </w:tc>
      </w:tr>
      <w:tr>
        <w:tc>
          <w:tcPr/>
          <w:p>
            <w:pPr>
              <w:jc w:val="left"/>
            </w:pPr>
            <w:r>
              <w:rPr>
                <w:bCs/>
                <w:b/>
              </w:rPr>
              <w:t xml:space="preserve">Сведения о техническом состоянии основных фондов</w:t>
            </w:r>
          </w:p>
        </w:tc>
      </w:tr>
      <w:tr>
        <w:tc>
          <w:tcPr/>
          <w:p>
            <w:pPr>
              <w:jc w:val="left"/>
            </w:pPr>
            <w:r>
              <w:t xml:space="preserve">Техническое состояние основных фондов удовлетворительное. Между тем управа испытывает потребность в замене устаревшего компьютерного оборудования, устаревшей мебели на новую в соответствии с требованиями СанПиН.</w:t>
            </w:r>
          </w:p>
        </w:tc>
      </w:tr>
      <w:tr>
        <w:tc>
          <w:tcPr/>
          <w:p>
            <w:pPr>
              <w:pStyle w:val="Compact"/>
            </w:pPr>
          </w:p>
        </w:tc>
      </w:tr>
      <w:tr>
        <w:tc>
          <w:tcPr/>
          <w:p>
            <w:pPr>
              <w:jc w:val="left"/>
            </w:pPr>
            <w:r>
              <w:rPr>
                <w:bCs/>
                <w:b/>
              </w:rPr>
              <w:t xml:space="preserve">Сведения об эффективности использования основных фондов</w:t>
            </w:r>
          </w:p>
        </w:tc>
      </w:tr>
      <w:tr>
        <w:tc>
          <w:tcPr/>
          <w:p>
            <w:pPr>
              <w:jc w:val="left"/>
            </w:pPr>
            <w:r>
              <w:t xml:space="preserve">основным фактором повышени я эффективного использования основных средств является своевременное обновление основных средств; Префектура на безвозмездной основе передала управе оборудования на сумму 2878213,26 руб. Недостачи и порчи имущества в 2020 г. не выявлено. Основные средства использовались для нужд учреждения по своему целевому назначению.</w:t>
            </w:r>
          </w:p>
        </w:tc>
      </w:tr>
      <w:tr>
        <w:tc>
          <w:tcPr/>
          <w:p>
            <w:pPr>
              <w:pStyle w:val="Compact"/>
            </w:pPr>
          </w:p>
        </w:tc>
      </w:tr>
      <w:tr>
        <w:tc>
          <w:tcPr/>
          <w:p>
            <w:pPr>
              <w:jc w:val="left"/>
            </w:pPr>
            <w:r>
              <w:rPr>
                <w:bCs/>
                <w:b/>
              </w:rPr>
              <w:t xml:space="preserve">Сведения об обеспеченности субъекта бюджетной отчетности и его структурных подразделений основными фондами - о соответствии величины, состава и технического уровня основных фондов, реальной потребности в них</w:t>
            </w:r>
          </w:p>
        </w:tc>
      </w:tr>
      <w:tr>
        <w:tc>
          <w:tcPr/>
          <w:p>
            <w:pPr>
              <w:jc w:val="left"/>
            </w:pPr>
            <w:r>
              <w:t xml:space="preserve">Рабочее место каждого сотрудника технически оборудовано в том числе кабинет приема граждан. Каждое подразделение управы снабжено копировальной техникой, факсимильной связью и электронной почтой.</w:t>
            </w:r>
          </w:p>
        </w:tc>
      </w:tr>
      <w:tr>
        <w:tc>
          <w:tcPr/>
          <w:p>
            <w:pPr>
              <w:pStyle w:val="Compact"/>
            </w:pPr>
          </w:p>
        </w:tc>
      </w:tr>
      <w:tr>
        <w:tc>
          <w:tcPr/>
          <w:p>
            <w:pPr>
              <w:jc w:val="left"/>
            </w:pPr>
            <w:r>
              <w:rPr>
                <w:bCs/>
                <w:b/>
              </w:rPr>
              <w:t xml:space="preserve">Характеристика комплектности основных средств</w:t>
            </w:r>
          </w:p>
        </w:tc>
      </w:tr>
      <w:tr>
        <w:tc>
          <w:tcPr/>
          <w:p>
            <w:pPr>
              <w:jc w:val="left"/>
            </w:pPr>
            <w:r>
              <w:t xml:space="preserve">Техника представлена комплектом на каждом рабочем месте, в него входит: компьютер, монитор и принтер, который используется как с локальным подключением, так и с сетевым подключением.</w:t>
            </w:r>
          </w:p>
        </w:tc>
      </w:tr>
      <w:tr>
        <w:tc>
          <w:tcPr/>
          <w:p>
            <w:pPr>
              <w:pStyle w:val="Compact"/>
            </w:pPr>
          </w:p>
        </w:tc>
      </w:tr>
      <w:tr>
        <w:tc>
          <w:tcPr/>
          <w:p>
            <w:pPr>
              <w:jc w:val="left"/>
            </w:pPr>
            <w:r>
              <w:rPr>
                <w:bCs/>
                <w:b/>
              </w:rPr>
              <w:t xml:space="preserve">Информация об изношенности основных средств</w:t>
            </w:r>
          </w:p>
        </w:tc>
      </w:tr>
      <w:tr>
        <w:tc>
          <w:tcPr/>
          <w:p>
            <w:pPr>
              <w:jc w:val="left"/>
            </w:pPr>
            <w:r>
              <w:t xml:space="preserve">В 2020 году управа полностью заменила компьютерное оборудование на новое за счет безвозмездной поставки от префектуры ЦАО</w:t>
            </w:r>
          </w:p>
        </w:tc>
      </w:tr>
      <w:tr>
        <w:tc>
          <w:tcPr/>
          <w:p>
            <w:pPr>
              <w:pStyle w:val="Compact"/>
            </w:pPr>
          </w:p>
        </w:tc>
      </w:tr>
      <w:tr>
        <w:tc>
          <w:tcPr/>
          <w:p>
            <w:pPr>
              <w:jc w:val="left"/>
            </w:pPr>
            <w:r>
              <w:rPr>
                <w:bCs/>
                <w:b/>
              </w:rPr>
              <w:t xml:space="preserve">Сведения об основных мероприятиях по улучшению состояния и сохранности основных средств</w:t>
            </w:r>
          </w:p>
        </w:tc>
      </w:tr>
      <w:tr>
        <w:tc>
          <w:tcPr/>
          <w:p>
            <w:pPr>
              <w:jc w:val="left"/>
            </w:pPr>
            <w:r>
              <w:t xml:space="preserve">В учреждении проводится диагностика, техническое обслуживание, ремонт основных средств.</w:t>
            </w:r>
          </w:p>
        </w:tc>
      </w:tr>
      <w:tr>
        <w:tc>
          <w:tcPr/>
          <w:p>
            <w:pPr>
              <w:pStyle w:val="Compact"/>
            </w:pPr>
          </w:p>
        </w:tc>
      </w:tr>
      <w:tr>
        <w:tc>
          <w:tcPr/>
          <w:p>
            <w:pPr>
              <w:jc w:val="left"/>
            </w:pPr>
            <w:r>
              <w:rPr>
                <w:bCs/>
                <w:b/>
              </w:rPr>
              <w:t xml:space="preserve">Сведения о наличии материальных запасов, необходимых для осуществления деятельности субъекта бюджетной отчетности</w:t>
            </w:r>
          </w:p>
        </w:tc>
      </w:tr>
      <w:tr>
        <w:tc>
          <w:tcPr/>
          <w:p>
            <w:pPr>
              <w:jc w:val="left"/>
            </w:pPr>
            <w:r>
              <w:t xml:space="preserve">Материальные запасы поступают в учреждение своевременно и в полном объме.</w:t>
            </w:r>
          </w:p>
        </w:tc>
      </w:tr>
      <w:tr>
        <w:tc>
          <w:tcPr/>
          <w:p>
            <w:pPr>
              <w:pStyle w:val="Compact"/>
            </w:pPr>
          </w:p>
        </w:tc>
      </w:tr>
      <w:tr>
        <w:tc>
          <w:tcPr/>
          <w:p>
            <w:pPr>
              <w:jc w:val="left"/>
            </w:pPr>
            <w:r>
              <w:rPr>
                <w:bCs/>
                <w:b/>
              </w:rPr>
              <w:t xml:space="preserve">Информация об остатках материальных запасов, имеющих значительный процент объема остатка к годовой потребности</w:t>
            </w:r>
          </w:p>
        </w:tc>
      </w:tr>
      <w:tr>
        <w:tc>
          <w:tcPr/>
          <w:p>
            <w:pPr>
              <w:jc w:val="left"/>
            </w:pPr>
            <w:r>
              <w:t xml:space="preserve">Материальные запасы в учреждении имеются в объеме, необходимом для осуществления деятельности - на сумму- 3729 667,09 руб. Дефицита в материальных запасах не допускалось</w:t>
            </w:r>
          </w:p>
        </w:tc>
      </w:tr>
      <w:tr>
        <w:tc>
          <w:tcPr/>
          <w:p>
            <w:pPr>
              <w:pStyle w:val="Compact"/>
            </w:pPr>
          </w:p>
        </w:tc>
      </w:tr>
      <w:tr>
        <w:tc>
          <w:tcPr/>
          <w:p>
            <w:pPr>
              <w:jc w:val="left"/>
            </w:pPr>
            <w:r>
              <w:rPr>
                <w:bCs/>
                <w:b/>
              </w:rPr>
              <w:t xml:space="preserve">Информация об основных видах безвозмездно полученных услуг (работ)</w:t>
            </w:r>
          </w:p>
        </w:tc>
      </w:tr>
      <w:tr>
        <w:tc>
          <w:tcPr/>
          <w:p>
            <w:pPr>
              <w:jc w:val="left"/>
            </w:pPr>
            <w:r>
              <w:t xml:space="preserve">Информация отсутствует</w:t>
            </w:r>
          </w:p>
        </w:tc>
      </w:tr>
      <w:tr>
        <w:tc>
          <w:tcPr/>
          <w:p>
            <w:pPr>
              <w:pStyle w:val="Compact"/>
            </w:pPr>
          </w:p>
        </w:tc>
      </w:tr>
      <w:tr>
        <w:tc>
          <w:tcPr/>
          <w:p>
            <w:pPr>
              <w:jc w:val="left"/>
            </w:pPr>
            <w:r>
              <w:rPr>
                <w:bCs/>
                <w:b/>
              </w:rPr>
              <w:t xml:space="preserve">Прочая информация</w:t>
            </w:r>
          </w:p>
        </w:tc>
      </w:tr>
      <w:tr>
        <w:tc>
          <w:tcPr/>
          <w:p>
            <w:pPr>
              <w:jc w:val="left"/>
            </w:pPr>
            <w:r>
              <w:t xml:space="preserve">В целях сохранности материальной базы учреждения проводится ежегодная инвентаризация перед составлением годовой бюджетной отчетности</w:t>
            </w:r>
          </w:p>
        </w:tc>
      </w:tr>
      <w:tr>
        <w:tc>
          <w:tcPr/>
          <w:p>
            <w:pPr>
              <w:pStyle w:val="Compact"/>
            </w:pPr>
          </w:p>
        </w:tc>
      </w:tr>
      <w:tr>
        <w:tc>
          <w:tcPr/>
          <w:p>
            <w:pPr>
              <w:pStyle w:val="Compact"/>
            </w:pPr>
          </w:p>
        </w:tc>
      </w:tr>
    </w:tbl>
    <w:p>
      <w:pPr>
        <w:pStyle w:val="BodyText"/>
      </w:pPr>
      <w:r>
        <w:rPr>
          <w:bCs/>
          <w:b/>
        </w:rPr>
        <w:t xml:space="preserve">Раздел 3 «Анализ отчета об исполнении бюджета субъектом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раскрывающая причины отклонений показателей уточненной бюджетной росписи от показателей бюджетных ассигнований, предусмотренных законом о бюджете, с указанием ссылок на правовые основания внесения уточнений в бюджетную роспись</w:t>
            </w:r>
          </w:p>
        </w:tc>
      </w:tr>
      <w:tr>
        <w:tc>
          <w:tcPr/>
          <w:p>
            <w:pPr>
              <w:pStyle w:val="Compact"/>
            </w:pPr>
          </w:p>
        </w:tc>
      </w:tr>
      <w:tr>
        <w:tc>
          <w:tcPr/>
          <w:p>
            <w:pPr>
              <w:pStyle w:val="Compact"/>
            </w:pPr>
          </w:p>
        </w:tc>
      </w:tr>
      <w:tr>
        <w:tc>
          <w:tcPr/>
          <w:p>
            <w:pPr>
              <w:jc w:val="left"/>
            </w:pPr>
            <w:r>
              <w:rPr>
                <w:bCs/>
                <w:b/>
              </w:rPr>
              <w:t xml:space="preserve">Информация, оказавшая существенное влияние и характеризующая результаты исполнения бюджета субъектом бюджетной отчетности за отчетный период, не нашедшая отражения в таблицах и приложениях, включаемых в раздел</w:t>
            </w:r>
          </w:p>
        </w:tc>
      </w:tr>
      <w:tr>
        <w:tc>
          <w:tcPr/>
          <w:p>
            <w:pPr>
              <w:jc w:val="left"/>
            </w:pPr>
            <w:r>
              <w:t xml:space="preserve">Кредиторская задолженность за 2020 год составляет -167800,42 руб. Дебиторская задолженность в сумме 31780,16 руб. будет погашена в 2021году.</w:t>
            </w:r>
          </w:p>
        </w:tc>
      </w:tr>
      <w:tr>
        <w:tc>
          <w:tcPr/>
          <w:p>
            <w:pPr>
              <w:pStyle w:val="Compact"/>
            </w:pPr>
          </w:p>
        </w:tc>
      </w:tr>
      <w:tr>
        <w:tc>
          <w:tcPr/>
          <w:p>
            <w:pPr>
              <w:jc w:val="left"/>
            </w:pPr>
            <w:r>
              <w:rPr>
                <w:bCs/>
                <w:b/>
              </w:rPr>
              <w:t xml:space="preserve">Информация о принятых субъектом отчетности обязательствах (денежных обязательствах), исполнение которых предусмотрено в соответствующих финансовых годах, следующих за отчетным годом (на основании ф.0503128)</w:t>
            </w:r>
          </w:p>
        </w:tc>
      </w:tr>
      <w:tr>
        <w:tc>
          <w:tcPr/>
          <w:p>
            <w:pPr>
              <w:jc w:val="left"/>
            </w:pPr>
            <w:r>
              <w:t xml:space="preserve">Принятие бюджетных и денежных обязательств сверх доведенного объема лимитов бюджетных обязательств в 2020 г. не допускалось.</w:t>
            </w:r>
          </w:p>
        </w:tc>
      </w:tr>
      <w:tr>
        <w:tc>
          <w:tcPr/>
          <w:p>
            <w:pPr>
              <w:pStyle w:val="Compact"/>
            </w:pPr>
          </w:p>
        </w:tc>
      </w:tr>
      <w:tr>
        <w:tc>
          <w:tcPr/>
          <w:p>
            <w:pPr>
              <w:jc w:val="left"/>
            </w:pPr>
            <w:r>
              <w:rPr>
                <w:bCs/>
                <w:b/>
              </w:rPr>
              <w:t xml:space="preserve">Информация о принятии бюджетных обязательств (денежных обязательств) сверх утвержденного субъекту бюджетной отчетности на финансовый год объема бюджетных ассигнований и (или) лимитов бюджетных обязательств (на основании ф.0503128)</w:t>
            </w:r>
          </w:p>
        </w:tc>
      </w:tr>
      <w:tr>
        <w:tc>
          <w:tcPr/>
          <w:p>
            <w:pPr>
              <w:jc w:val="left"/>
            </w:pPr>
            <w:r>
              <w:t xml:space="preserve">Информация по некассовым операциям отсутствует.</w:t>
            </w:r>
          </w:p>
        </w:tc>
      </w:tr>
      <w:tr>
        <w:tc>
          <w:tcPr/>
          <w:p>
            <w:pPr>
              <w:pStyle w:val="Compact"/>
            </w:pPr>
          </w:p>
        </w:tc>
      </w:tr>
      <w:tr>
        <w:tc>
          <w:tcPr/>
          <w:p>
            <w:pPr>
              <w:jc w:val="left"/>
            </w:pPr>
            <w:r>
              <w:rPr>
                <w:bCs/>
                <w:b/>
              </w:rPr>
              <w:t xml:space="preserve">Информация (пояснения) о некассовых операциях, отраженных в Отчете (ф. 0503127) (характеристика операций)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отклонения суммы неисполненных назначений, отраженных в графе 9 по соответствующим строкам раздела «Доходы» ф. 0503127, формирующих итоговый показатель по доходам, от разницы показателей граф 4 и 8 по строке 010 «Доходы бюджета - всего»</w:t>
            </w:r>
          </w:p>
        </w:tc>
      </w:tr>
      <w:tr>
        <w:tc>
          <w:tcPr/>
          <w:p>
            <w:pPr>
              <w:pStyle w:val="Compact"/>
            </w:pPr>
          </w:p>
        </w:tc>
      </w:tr>
      <w:tr>
        <w:tc>
          <w:tcPr/>
          <w:p>
            <w:pPr>
              <w:pStyle w:val="Compact"/>
            </w:pPr>
          </w:p>
        </w:tc>
      </w:tr>
      <w:tr>
        <w:tc>
          <w:tcPr/>
          <w:p>
            <w:pPr>
              <w:jc w:val="left"/>
            </w:pPr>
            <w:r>
              <w:rPr>
                <w:bCs/>
                <w:b/>
              </w:rPr>
              <w:t xml:space="preserve">Комплексный анализ исполнения бюджета по доходам, с отражением причин отклонений показателей исполнения бюджета от плановых показателей (на основании ф. 0503164)</w:t>
            </w:r>
          </w:p>
        </w:tc>
      </w:tr>
      <w:tr>
        <w:tc>
          <w:tcPr/>
          <w:p>
            <w:pPr>
              <w:pStyle w:val="Compact"/>
            </w:pPr>
          </w:p>
        </w:tc>
      </w:tr>
      <w:tr>
        <w:tc>
          <w:tcPr/>
          <w:p>
            <w:pPr>
              <w:pStyle w:val="Compact"/>
            </w:pPr>
          </w:p>
        </w:tc>
      </w:tr>
      <w:tr>
        <w:tc>
          <w:tcPr/>
          <w:p>
            <w:pPr>
              <w:jc w:val="left"/>
            </w:pPr>
            <w:r>
              <w:rPr>
                <w:bCs/>
                <w:b/>
              </w:rPr>
              <w:t xml:space="preserve">Комплексный анализ исполнения бюджета по расходам в разрезе государственных программ, подпрограмм города Москвы (непрограммных направлений деятельности) (1 - 5 знак целевой статьи расходов), в том числе в рамках реализации национальных (региональных) проектов, включая расходы на перечисление субсидий подведомственным учреждениям на реализацию региональных проектов (на основании ф.0503164)</w:t>
            </w:r>
          </w:p>
        </w:tc>
      </w:tr>
      <w:tr>
        <w:tc>
          <w:tcPr/>
          <w:p>
            <w:pPr>
              <w:pStyle w:val="Compact"/>
            </w:pPr>
          </w:p>
        </w:tc>
      </w:tr>
      <w:tr>
        <w:tc>
          <w:tcPr/>
          <w:p>
            <w:pPr>
              <w:pStyle w:val="Compact"/>
            </w:pPr>
          </w:p>
        </w:tc>
      </w:tr>
      <w:tr>
        <w:tc>
          <w:tcPr/>
          <w:p>
            <w:pPr>
              <w:jc w:val="left"/>
            </w:pPr>
            <w:r>
              <w:rPr>
                <w:bCs/>
                <w:b/>
              </w:rPr>
              <w:t xml:space="preserve">Комплексный анализ исполнения бюджета по расходам в разрезе государственных программ (непрограммных направлений деятельности), подпрограмм государственных программ города Москвы (непрограммного направления деятельности), (1 - 5 знак целевой статьи расходов), дополнительно с отражением информации о плановых и фактически достигнутых натуральных показателях (по видам работ и конкретных мероприятиях) государственными учреждениями подведомственными органам исполнительной власти, а также причин отклонения показателей исполнения бюджета от плановых показателей на основании форм бюджетной отчетности</w:t>
            </w:r>
          </w:p>
        </w:tc>
      </w:tr>
      <w:tr>
        <w:tc>
          <w:tcPr/>
          <w:p>
            <w:pPr>
              <w:pStyle w:val="Compact"/>
            </w:pPr>
          </w:p>
        </w:tc>
      </w:tr>
      <w:tr>
        <w:tc>
          <w:tcPr/>
          <w:p>
            <w:pPr>
              <w:pStyle w:val="Compact"/>
            </w:pPr>
          </w:p>
        </w:tc>
      </w:tr>
      <w:tr>
        <w:tc>
          <w:tcPr/>
          <w:p>
            <w:pPr>
              <w:jc w:val="left"/>
            </w:pPr>
            <w:r>
              <w:rPr>
                <w:bCs/>
                <w:b/>
              </w:rPr>
              <w:t xml:space="preserve">Комплексный анализ исполнения бюджета по источникам финансирования дефицита бюджета с отражением причин отклонений показателей исполнения бюджета от плановых показателей (на основании ф. 0503164)</w:t>
            </w:r>
          </w:p>
        </w:tc>
      </w:tr>
      <w:tr>
        <w:tc>
          <w:tcPr/>
          <w:p>
            <w:pPr>
              <w:pStyle w:val="Compact"/>
            </w:pPr>
          </w:p>
        </w:tc>
      </w:tr>
      <w:tr>
        <w:tc>
          <w:tcPr/>
          <w:p>
            <w:pPr>
              <w:pStyle w:val="Compact"/>
            </w:pPr>
          </w:p>
        </w:tc>
      </w:tr>
      <w:tr>
        <w:tc>
          <w:tcPr/>
          <w:p>
            <w:pPr>
              <w:jc w:val="left"/>
            </w:pPr>
            <w:r>
              <w:rPr>
                <w:bCs/>
                <w:b/>
              </w:rPr>
              <w:t xml:space="preserve">Информация, раскрывающая причины неисполнения плановых показателей по расходам бюджета, отраженных в ф.0503164 с кодами причин неисполнения "199" (иные причины)</w:t>
            </w:r>
          </w:p>
        </w:tc>
      </w:tr>
      <w:tr>
        <w:tc>
          <w:tcPr/>
          <w:p>
            <w:pPr>
              <w:pStyle w:val="Compact"/>
            </w:pPr>
          </w:p>
        </w:tc>
      </w:tr>
      <w:tr>
        <w:tc>
          <w:tcPr/>
          <w:p>
            <w:pPr>
              <w:pStyle w:val="Compact"/>
            </w:pPr>
          </w:p>
        </w:tc>
      </w:tr>
      <w:tr>
        <w:tc>
          <w:tcPr/>
          <w:p>
            <w:pPr>
              <w:jc w:val="left"/>
            </w:pPr>
            <w:r>
              <w:rPr>
                <w:bCs/>
                <w:b/>
              </w:rPr>
              <w:t xml:space="preserve">Расшифровка курсовой разницы отраженной в ф.0503127 в разрезе следующих показателей (положительная курсовая разница, отрицательная курсовая разница, начисленная по доходам или расходам)</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Сведения, раскрывающие информацию о ходе реализации государственными (муниципальными) бюджетными и автономными учреждениями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за счет средств субсидии на иные цели и субсидии на цели осуществления капитальных вложений, с указанием причин образования остатков средств целевых субсидий</w:t>
            </w:r>
          </w:p>
        </w:tc>
      </w:tr>
      <w:tr>
        <w:tc>
          <w:tcPr/>
          <w:p>
            <w:pPr>
              <w:pStyle w:val="Compact"/>
            </w:pPr>
          </w:p>
        </w:tc>
      </w:tr>
      <w:tr>
        <w:tc>
          <w:tcPr/>
          <w:p>
            <w:pPr>
              <w:pStyle w:val="Compact"/>
            </w:pPr>
          </w:p>
        </w:tc>
      </w:tr>
      <w:tr>
        <w:tc>
          <w:tcPr/>
          <w:p>
            <w:pPr>
              <w:jc w:val="left"/>
            </w:pPr>
            <w:r>
              <w:rPr>
                <w:bCs/>
                <w:b/>
              </w:rPr>
              <w:t xml:space="preserve">Информация, раскрывающая данные о неисполненных принятых бюджетных обязательствах и денежных обязательствах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(на основании ф.0503128-НП)</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обобщенным данным об операциях по управлению остатками средств на едином счете соответствующего бюджета за отчетный период (формируется органом уполномоченным на осуществление операций по управлению остатками средств на едином счете соответствующего бюджета)</w:t>
            </w:r>
          </w:p>
        </w:tc>
      </w:tr>
      <w:tr>
        <w:tc>
          <w:tcPr/>
          <w:p>
            <w:pPr>
              <w:pStyle w:val="Compact"/>
            </w:pPr>
          </w:p>
        </w:tc>
      </w:tr>
      <w:tr>
        <w:tc>
          <w:tcPr/>
          <w:p>
            <w:pPr>
              <w:pStyle w:val="Compact"/>
            </w:pPr>
          </w:p>
        </w:tc>
      </w:tr>
      <w:tr>
        <w:tc>
          <w:tcPr/>
          <w:p>
            <w:pPr>
              <w:jc w:val="left"/>
            </w:pPr>
            <w:r>
              <w:rPr>
                <w:bCs/>
                <w:b/>
              </w:rPr>
              <w:t xml:space="preserve">Прочая информация</w:t>
            </w:r>
          </w:p>
        </w:tc>
      </w:tr>
      <w:tr>
        <w:tc>
          <w:tcPr/>
          <w:p>
            <w:pPr>
              <w:jc w:val="left"/>
            </w:pPr>
            <w:r>
              <w:t xml:space="preserve">Показатели исполнения бюджета отражены в отчете (ф. 0503127) на 01.01.2021</w:t>
            </w:r>
          </w:p>
        </w:tc>
      </w:tr>
      <w:tr>
        <w:tc>
          <w:tcPr/>
          <w:p>
            <w:pPr>
              <w:pStyle w:val="Compact"/>
            </w:pPr>
          </w:p>
        </w:tc>
      </w:tr>
      <w:tr>
        <w:tc>
          <w:tcPr/>
          <w:p>
            <w:pPr>
              <w:pStyle w:val="Compact"/>
            </w:pPr>
          </w:p>
        </w:tc>
      </w:tr>
    </w:tbl>
    <w:p>
      <w:pPr>
        <w:pStyle w:val="BodyText"/>
      </w:pPr>
      <w:r>
        <w:rPr>
          <w:bCs/>
          <w:b/>
        </w:rPr>
        <w:t xml:space="preserve">Раздел 4 «Анализ показателей бухгалтерской отчетности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Пояснение сумм поступлений объектов нефинансовых активов, вложений в нефинансовые активы в результате принятия к учету ранее неучтенных объектов (восстановленных в учете) на основании ф.0503168</w:t>
            </w:r>
          </w:p>
        </w:tc>
      </w:tr>
      <w:tr>
        <w:tc>
          <w:tcPr/>
          <w:p>
            <w:pPr>
              <w:jc w:val="left"/>
            </w:pPr>
            <w:r>
              <w:t xml:space="preserve">Принятых к учету ранее неучтенных объектов нет.</w:t>
            </w:r>
          </w:p>
        </w:tc>
      </w:tr>
      <w:tr>
        <w:tc>
          <w:tcPr/>
          <w:p>
            <w:pPr>
              <w:pStyle w:val="Compact"/>
            </w:pPr>
          </w:p>
        </w:tc>
      </w:tr>
      <w:tr>
        <w:tc>
          <w:tcPr/>
          <w:p>
            <w:pPr>
              <w:jc w:val="left"/>
            </w:pPr>
            <w:r>
              <w:rPr>
                <w:bCs/>
                <w:b/>
              </w:rPr>
              <w:t xml:space="preserve">Пояснение сумм выбытий объектов нефинансовых активов, вложений в нефинансовые активы в результате недостач, хищений (на основании ф.0503168)</w:t>
            </w:r>
          </w:p>
        </w:tc>
      </w:tr>
      <w:tr>
        <w:tc>
          <w:tcPr/>
          <w:p>
            <w:pPr>
              <w:jc w:val="left"/>
            </w:pPr>
            <w:r>
              <w:t xml:space="preserve">Выбытий сумм объектов нефинансовых активов в результате недостач нет.</w:t>
            </w:r>
          </w:p>
        </w:tc>
      </w:tr>
      <w:tr>
        <w:tc>
          <w:tcPr/>
          <w:p>
            <w:pPr>
              <w:pStyle w:val="Compact"/>
            </w:pPr>
          </w:p>
        </w:tc>
      </w:tr>
      <w:tr>
        <w:tc>
          <w:tcPr/>
          <w:p>
            <w:pPr>
              <w:jc w:val="left"/>
            </w:pPr>
            <w:r>
              <w:rPr>
                <w:bCs/>
                <w:b/>
              </w:rPr>
              <w:t xml:space="preserve">Информация, раскрываемая по каждой группе основных средств, об используемых методах начисления амортизации</w:t>
            </w:r>
          </w:p>
        </w:tc>
      </w:tr>
      <w:tr>
        <w:tc>
          <w:tcPr/>
          <w:p>
            <w:pPr>
              <w:jc w:val="left"/>
            </w:pPr>
            <w:r>
              <w:t xml:space="preserve">Начисление амортизации объектов основных средств производится линейным методом. Амортизация начисляется: на объект основных средств стоимостью свыше 100 000 рублей в соответствии с рассчитанными нормами амортизации; на объект основных средств стоимостью до 10 000 рублей включительно, за исключением объектов библиотечного фонда, амортизация не начисляется; на объект библиотечного фонда стоимостью до 100 000 рублей включительно амортизация начисляется в размере 100% первоначальной стоимости при выдаче его в эксплуатацию; на иной объект основных средств стоимостью от 10 000 до 100 000 рублей включительно амортизация начисляется в размере 100% первоначальной стоимости при выдаче его в эксплуатацию</w:t>
            </w:r>
          </w:p>
        </w:tc>
      </w:tr>
      <w:tr>
        <w:tc>
          <w:tcPr/>
          <w:p>
            <w:pPr>
              <w:pStyle w:val="Compact"/>
            </w:pPr>
          </w:p>
        </w:tc>
      </w:tr>
      <w:tr>
        <w:tc>
          <w:tcPr/>
          <w:p>
            <w:pPr>
              <w:jc w:val="left"/>
            </w:pPr>
            <w:r>
              <w:rPr>
                <w:bCs/>
                <w:b/>
              </w:rPr>
              <w:t xml:space="preserve">Информация, раскрываемая по каждой группе основных средств, об используемых методах определения сроков полезного использования</w:t>
            </w:r>
          </w:p>
        </w:tc>
      </w:tr>
      <w:tr>
        <w:tc>
          <w:tcPr/>
          <w:p>
            <w:pPr>
              <w:jc w:val="left"/>
            </w:pPr>
            <w:r>
              <w:t xml:space="preserve">Срок полезного использования основных средств устанавливается в соответствии с Классификацией основных средств, включаемых в амортизационные группы (утв. Постановлением Правительства РФ от 01.01.2002 N 1) (далее - Классификация). Расчет суммы амортизации основных средств, входящих в первые девять амортизационных групп Классификации, осуществляется в соответствии с максимальными сроками полезного использования имущества, установленными для этих групп. Для основных средств, входящих в десятую амортизационную группу Классификации основных средств, расчет суммы амортизации производится исходя из Единых норм амортизационных отчислений на полное восстановление основных фондов народного хозяйства СССР, утвержденных Постановлением Совета Министров СССР от 22.10.1990 N 1072." 2. Если основное средство не упомянуто в Классификации основных средств, срок полезного использования установливается самостоятельнокомиссией по поступлению и выбытию активов в соответствии с п. 35 ФСБУ ""Основные средства"";3. в отношении материальных ценностей, которые в соответствии с ФСБУ «Основные средства», Инструкцией № 157н относятся к объектам основныхсредств, но не вошли в ОКОФ ОК 013-2014 (СНС 2008), принятие к учету производится в качестве объекта основных средств с группировкой согласноОбщероссийскому классификатору основных средств ОК 013-94;4. в случае если согласно классификатору ОКОФ ОК 013-2014 (СНС 2008) материальные ценности отнесены к основным фондам, но в соответствии спунктом 99 Инструкции № 157н указанные ценности относятся к материальным запасам (несмотря на то, что срок полезного использования данныхобъектов более 12 месяцев), такие объекты принимаются к учету в составе материальных запасов</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сумму стоимости поступивших объектов основных средств с отдельным раскрытием сумм поступлений в результате приобретения (создания) объектов основных средств, получения объектов от собственника (учредителя), иной организации государственного сектора, в результате увеличений балансовой стоимости объектов основных средств, в результате реклассификаций</w:t>
            </w:r>
          </w:p>
        </w:tc>
      </w:tr>
      <w:tr>
        <w:tc>
          <w:tcPr/>
          <w:p>
            <w:pPr>
              <w:jc w:val="left"/>
            </w:pPr>
            <w:r>
              <w:t xml:space="preserve">Изменения остаточной стоимости основных средств: движимое имущество учреждения увеличилось в результате: 1.безвозмездной передачи Департаментом городского имущества города Москвы балансовой стоимости 2 помещений, находящихся в оперативном учете управы в сумме- 580357,02 руб.; поступления основных средств по группе "Машины и оборудование"-2 983 733,43 руб. в т.ч.2 878 213,26 руб.получены безвозмездно из префектуры ЦАО г. Москвы; по группе "Производственный и хозяйственный инвентарь"в в сумме 130 000,00 руб.; по группе "Прочие основные средства"- 118 060,47,00руб.; "недвижимое имущество учреждения" в результате реклассификации основных средств (перемещение основных средств между видами имущества): остаточная стоимость по группе "Нежилые помещения (здания и сооружения) уменьшилась на сумму 2,00руб.</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сумму стоимости выбывших объектов основных средств с отдельным раскрытием сумм выбытий в результате передачи объектов имущества, учитываемых в составе основных средств, собственнику (учредителю), иной организации государственного сектора, а также в результате реклассификаций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суммы увеличения или уменьшения остаточной стоимости объектов основных средств в результате признания в отношении их убытков от обесценения активов (снижения убытков от обесценения активов), отраженных или восстановленных в соответствии с федеральным стандартом «Обесценение активов», суммы накопленного убытка от обесценения объектов основных средств на отчетную дату</w:t>
            </w:r>
          </w:p>
        </w:tc>
      </w:tr>
      <w:tr>
        <w:tc>
          <w:tcPr/>
          <w:p>
            <w:pPr>
              <w:jc w:val="left"/>
            </w:pPr>
            <w:r>
              <w:t xml:space="preserve">Данные по обесценению активов отсутствуют</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чистые курсовые разницы, возникающие при пересчете бухгалтерской (финансовой) отчетности из функциональной валюты в отличную от нее валюту представления или пересчете бухгалтерской (финансовой) отчетности в иностранной валюте по зарубежной деятельности в функциональную валюту</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первоначальную стоимость, балансовую стоимость и переоцененную стоимость объектов основных средств, отчуждаемых не в пользу организаций государственного сектора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каждой группе основных средств о сверке остаточной стоимости на начало и на конец периода, раскрывающая: прочие изменения стоимости объектов основных средств</w:t>
            </w:r>
          </w:p>
        </w:tc>
      </w:tr>
      <w:tr>
        <w:tc>
          <w:tcPr/>
          <w:p>
            <w:pPr>
              <w:jc w:val="left"/>
            </w:pPr>
            <w:r>
              <w:t xml:space="preserve">Изменение остаточной стоимости за счет начисления амортизации и безвозмездной передачи а также безвозмездного поступления основных средств. Остаточная стоимость по группе "Нежилые помещения (здания и сооружения)": на начало 6 357 731,09 руб. на конец периода- 6 848 730,38 руб. Остаточная стоимость по группе "Машины и оборудование" на начало периода 9 967 087,48руб., на конец -10 476 417,81руб. Остаточная стоимость по группе "Инвентарь производственный и хозяйственный" на начало периода 7 496 383,81руб., на конец – 7 902 463,03 руб. Остаточная стоимость по группе "Прочие основные средства" на начало587903,08 руб. на конец периода -902 610,82 руб.</w:t>
            </w:r>
          </w:p>
        </w:tc>
      </w:tr>
      <w:tr>
        <w:tc>
          <w:tcPr/>
          <w:p>
            <w:pPr>
              <w:pStyle w:val="Compact"/>
            </w:pPr>
          </w:p>
        </w:tc>
      </w:tr>
      <w:tr>
        <w:tc>
          <w:tcPr/>
          <w:p>
            <w:pPr>
              <w:jc w:val="left"/>
            </w:pPr>
            <w:r>
              <w:rPr>
                <w:bCs/>
                <w:b/>
              </w:rPr>
              <w:t xml:space="preserve">Информация, раскрываемая по каждой группе основных средств, о наличии и размере ограничений прав собственности или иных предоставленных прав</w:t>
            </w:r>
          </w:p>
        </w:tc>
      </w:tr>
      <w:tr>
        <w:tc>
          <w:tcPr/>
          <w:p>
            <w:pPr>
              <w:jc w:val="left"/>
            </w:pPr>
            <w:r>
              <w:t xml:space="preserve">Ограничения прав собственности или иных прав отсутствуют.</w:t>
            </w:r>
          </w:p>
        </w:tc>
      </w:tr>
      <w:tr>
        <w:tc>
          <w:tcPr/>
          <w:p>
            <w:pPr>
              <w:pStyle w:val="Compact"/>
            </w:pPr>
          </w:p>
        </w:tc>
      </w:tr>
      <w:tr>
        <w:tc>
          <w:tcPr/>
          <w:p>
            <w:pPr>
              <w:jc w:val="left"/>
            </w:pPr>
            <w:r>
              <w:rPr>
                <w:bCs/>
                <w:b/>
              </w:rPr>
              <w:t xml:space="preserve">Информация о стоимости объектов недвижимого и движимого имущества, которые субъект учета не вправе использовать в качестве обеспечения исполнения своих обязательств</w:t>
            </w:r>
          </w:p>
        </w:tc>
      </w:tr>
      <w:tr>
        <w:tc>
          <w:tcPr/>
          <w:p>
            <w:pPr>
              <w:jc w:val="left"/>
            </w:pPr>
            <w:r>
              <w:t xml:space="preserve">Все движимое имущество закреплено за управой на праве оперативного владения. и не в праве использоваться в качестве обеспечения исполнения своих обязательств</w:t>
            </w:r>
          </w:p>
        </w:tc>
      </w:tr>
      <w:tr>
        <w:tc>
          <w:tcPr/>
          <w:p>
            <w:pPr>
              <w:pStyle w:val="Compact"/>
            </w:pPr>
          </w:p>
        </w:tc>
      </w:tr>
      <w:tr>
        <w:tc>
          <w:tcPr/>
          <w:p>
            <w:pPr>
              <w:jc w:val="left"/>
            </w:pPr>
            <w:r>
              <w:rPr>
                <w:bCs/>
                <w:b/>
              </w:rPr>
              <w:t xml:space="preserve">Перечень основных средств, переданных в качестве обеспечения исполнения обязательств субъекта учета, с отражением остаточной стоимости на начало и конец отчетного периода</w:t>
            </w:r>
          </w:p>
        </w:tc>
      </w:tr>
      <w:tr>
        <w:tc>
          <w:tcPr/>
          <w:p>
            <w:pPr>
              <w:jc w:val="left"/>
            </w:pPr>
            <w:r>
              <w:t xml:space="preserve">Операции по передаче основных средств в качестве обеспечения исполнения обязательств не осуществлялись</w:t>
            </w:r>
          </w:p>
        </w:tc>
      </w:tr>
      <w:tr>
        <w:tc>
          <w:tcPr/>
          <w:p>
            <w:pPr>
              <w:pStyle w:val="Compact"/>
            </w:pPr>
          </w:p>
        </w:tc>
      </w:tr>
      <w:tr>
        <w:tc>
          <w:tcPr/>
          <w:p>
            <w:pPr>
              <w:jc w:val="left"/>
            </w:pPr>
            <w:r>
              <w:rPr>
                <w:bCs/>
                <w:b/>
              </w:rPr>
              <w:t xml:space="preserve">Дополнительная информация, раскрываемая по каждой группе основных средств, о сумме затрат, включенных в стоимость объектов основных средств в ходе его строительства, на начало и конец отчетного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Дополнительная информация, раскрываемая по каждой группе основных средств, о сумме договорных обязательств по приобретению (строительству) основных средств на конец отчетного периода (по каждой группе основных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Дополнительная информация, раскрываемая по каждой группе основных средств, о сумме компенсаций, причитающихся к получению от третьих сторон в связи с обесценением, утратой или передачей основных средств, включенных в доходы текущего периода, в случае, когда такая информация не раскрыта отдельно в отчете о финансовых результатах деятельности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описание объектов инвестиционной недвижимости</w:t>
            </w:r>
          </w:p>
        </w:tc>
      </w:tr>
      <w:tr>
        <w:tc>
          <w:tcPr/>
          <w:p>
            <w:pPr>
              <w:jc w:val="left"/>
            </w:pPr>
            <w:r>
              <w:t xml:space="preserve">Группа основных средств "Инвестиционная недвижимость" в учете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критерии признания объектов основных средств, применяемые при отнесении активов к группе основных средств «Инвестиционная недвижимость»</w:t>
            </w:r>
          </w:p>
        </w:tc>
      </w:tr>
      <w:tr>
        <w:tc>
          <w:tcPr/>
          <w:p>
            <w:pPr>
              <w:jc w:val="left"/>
            </w:pPr>
            <w:r>
              <w:t xml:space="preserve">Группа основных средств "Инвестиционная недвижимость" в учете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суммы, признанные в качестве дохода от платы за пользование имуществом (арендной платы) и (или) увеличения стоимости недвижимого имущества, учитываемого в составе группы основных средств «Инвестиционная недвижимость»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суммы, признанные в качестве расходов (в том числе расходов на капитальный ремонт и (или) на содержание имущества), связанных с инвестиционной недвижимостью, при этом доходы от платы за пользование таким имуществом (арендной платы) и (или) от увеличения стоимости такого имущества отражены в финансовом результате отчетного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суммы, признанные в качестве расходов (в том числе расходов на капитальный ремонт и (или) на содержание имущества), связанных с владением и (или) пользованием инвестиционной недвижимостью, по которой в отчетном периоде не получены доходы от платы за пользование таким имуществом (арендной платы) и (или) от увеличения стоимости такого имущества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группы основных средств «Инвестиционная недвижимость»: наличие ограничений в отношении возможности продажи объектов инвестиционной недвижимости или поступлений экономических выгод (доходов) от выбытия, а также суммы указанных ограничений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объектов недвижимости, полученных по договорам аренды (имущественного найма) либо договорам безвозмездного пользования, признанных в бухгалтерском учете в составе основных средств: об объектах инвестиционной недвижимости, полученных по договорам аренды (имущественного найма) либо по договорам безвозмездного пользования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объектов недвижимости, полученных по договорам аренды (имущественного найма) либо договорам безвозмездного пользования, признанных в бухгалтерском учете в составе основных средств: об объектах инвестиционной недвижимости, переданных по договорам аренды (субаренды) (имущественного найма (поднайма) либо по договорам безвозмездного пользования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характере и последствиях изменений в оценках объектов основных средств, оказывающих влияние в отчетном периоде, либо которые будут оказывать влияние в последующие периоды в отношении сроков полезного использования объектов основных средств</w:t>
            </w:r>
          </w:p>
        </w:tc>
      </w:tr>
      <w:tr>
        <w:tc>
          <w:tcPr/>
          <w:p>
            <w:pPr>
              <w:jc w:val="left"/>
            </w:pPr>
            <w:r>
              <w:t xml:space="preserve">Изменений в оценках объектов основных средств в отношении методов начисления амортизации нет.</w:t>
            </w:r>
          </w:p>
        </w:tc>
      </w:tr>
      <w:tr>
        <w:tc>
          <w:tcPr/>
          <w:p>
            <w:pPr>
              <w:pStyle w:val="Compact"/>
            </w:pPr>
          </w:p>
        </w:tc>
      </w:tr>
      <w:tr>
        <w:tc>
          <w:tcPr/>
          <w:p>
            <w:pPr>
              <w:jc w:val="left"/>
            </w:pPr>
            <w:r>
              <w:rPr>
                <w:bCs/>
                <w:b/>
              </w:rPr>
              <w:t xml:space="preserve">Информация о характере и последствиях изменений в оценках объектов основных средств, оказывающих влияние в отчетном периоде, либо которые будут оказывать влияние в последующие периоды в отношении методов начисления амортизации объектов основных средств</w:t>
            </w:r>
          </w:p>
        </w:tc>
      </w:tr>
      <w:tr>
        <w:tc>
          <w:tcPr/>
          <w:p>
            <w:pPr>
              <w:jc w:val="left"/>
            </w:pPr>
            <w:r>
              <w:t xml:space="preserve">Изменений в оценках объектов основных средств в отношении методов начисления амортизации нет.</w:t>
            </w:r>
          </w:p>
        </w:tc>
      </w:tr>
      <w:tr>
        <w:tc>
          <w:tcPr/>
          <w:p>
            <w:pPr>
              <w:pStyle w:val="Compact"/>
            </w:pPr>
          </w:p>
        </w:tc>
      </w:tr>
      <w:tr>
        <w:tc>
          <w:tcPr/>
          <w:p>
            <w:pPr>
              <w:jc w:val="left"/>
            </w:pPr>
            <w:r>
              <w:rPr>
                <w:bCs/>
                <w:b/>
              </w:rPr>
              <w:t xml:space="preserve">Информация о балансовой стоимости и остаточной стоимости временно неэксплуатируемых (неиспользуемых) объектов основных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балансовой стоимости объектов основных средств, находящихся в эксплуатации и имеющих нулевую остаточную стоимость</w:t>
            </w:r>
          </w:p>
        </w:tc>
      </w:tr>
      <w:tr>
        <w:tc>
          <w:tcPr/>
          <w:p>
            <w:pPr>
              <w:jc w:val="left"/>
            </w:pPr>
            <w:r>
              <w:t xml:space="preserve">Балансовая стоимость основных средств, находящихся в эксплуатации и имеющих нулевую остаточную стоимость составляет 20 840 075,91руб.</w:t>
            </w:r>
          </w:p>
        </w:tc>
      </w:tr>
      <w:tr>
        <w:tc>
          <w:tcPr/>
          <w:p>
            <w:pPr>
              <w:pStyle w:val="Compact"/>
            </w:pPr>
          </w:p>
        </w:tc>
      </w:tr>
      <w:tr>
        <w:tc>
          <w:tcPr/>
          <w:p>
            <w:pPr>
              <w:jc w:val="left"/>
            </w:pPr>
            <w:r>
              <w:rPr>
                <w:bCs/>
                <w:b/>
              </w:rPr>
              <w:t xml:space="preserve">Информация о балансовой стоимости и остаточной стоимости объектов основных средств, изъятых из эксплуатации или удерживаемых до их выбытия</w:t>
            </w:r>
          </w:p>
        </w:tc>
      </w:tr>
      <w:tr>
        <w:tc>
          <w:tcPr/>
          <w:p>
            <w:pPr>
              <w:jc w:val="left"/>
            </w:pPr>
            <w:r>
              <w:t xml:space="preserve">По состоянию на 01.01.2021 год изъятые из эксплуатации объекты основных средств, в отношении которых принято решение о списании(прекращении эксплуатации), в том числе в связи с физическим или моральным износом и невозможностью или нецелесообразностью ихдальнейшего использования утилизированы.</w:t>
            </w:r>
          </w:p>
        </w:tc>
      </w:tr>
      <w:tr>
        <w:tc>
          <w:tcPr/>
          <w:p>
            <w:pPr>
              <w:pStyle w:val="Compact"/>
            </w:pPr>
          </w:p>
        </w:tc>
      </w:tr>
      <w:tr>
        <w:tc>
          <w:tcPr/>
          <w:p>
            <w:pPr>
              <w:jc w:val="left"/>
            </w:pPr>
            <w:r>
              <w:rPr>
                <w:bCs/>
                <w:b/>
              </w:rPr>
              <w:t xml:space="preserve">Информация, раскрываемая по каждой группе активов, о сумме убытков от обесценения актива, признанной в течение периода в составе расходов, и статьях отчетности, в которые включены эти убытки от обесценения актива</w:t>
            </w:r>
          </w:p>
        </w:tc>
      </w:tr>
      <w:tr>
        <w:tc>
          <w:tcPr/>
          <w:p>
            <w:pPr>
              <w:jc w:val="left"/>
            </w:pPr>
            <w:r>
              <w:t xml:space="preserve">Обесценение активов в 2019 году не осуществлялось</w:t>
            </w:r>
          </w:p>
        </w:tc>
      </w:tr>
      <w:tr>
        <w:tc>
          <w:tcPr/>
          <w:p>
            <w:pPr>
              <w:pStyle w:val="Compact"/>
            </w:pPr>
          </w:p>
        </w:tc>
      </w:tr>
      <w:tr>
        <w:tc>
          <w:tcPr/>
          <w:p>
            <w:pPr>
              <w:jc w:val="left"/>
            </w:pPr>
            <w:r>
              <w:rPr>
                <w:bCs/>
                <w:b/>
              </w:rPr>
              <w:t xml:space="preserve">Информация, раскрываемая по каждой группе активов, о сумме восстановленного убытка от обесценения актива, признанной в течение периода в составе доходов, и статьях отчетности, по которым эти убытки от обесценения актива были восстановлены</w:t>
            </w:r>
          </w:p>
        </w:tc>
      </w:tr>
      <w:tr>
        <w:tc>
          <w:tcPr/>
          <w:p>
            <w:pPr>
              <w:jc w:val="left"/>
            </w:pPr>
            <w:r>
              <w:t xml:space="preserve">В 2020 году операции по восстановлению убытка от обесценения актива не осуществлялось</w:t>
            </w:r>
          </w:p>
        </w:tc>
      </w:tr>
      <w:tr>
        <w:tc>
          <w:tcPr/>
          <w:p>
            <w:pPr>
              <w:pStyle w:val="Compact"/>
            </w:pPr>
          </w:p>
        </w:tc>
      </w:tr>
      <w:tr>
        <w:tc>
          <w:tcPr/>
          <w:p>
            <w:pPr>
              <w:jc w:val="left"/>
            </w:pPr>
            <w:r>
              <w:rPr>
                <w:bCs/>
                <w:b/>
              </w:rPr>
              <w:t xml:space="preserve">Информация, раскрываемая по суммам убытка от обесценения актива, признанного или восстановленного в течение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раскрываемая о событиях и обстоятельствах, которые привели к признанию или восстановлению убытка от обесценения актива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группе, к которой относится актив, по которому начислен убыток от обесценения актива, признанный или восстановленный в течение периода (если предоставление такой информации предусмотрено нормативными правовыми актами, регулирующими ведение бухгалтерского учета и составление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методах, использованных для определения справедливой стоимости при проведении теста на обесценение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единице, генерирующей денежные потоки</w:t>
            </w:r>
          </w:p>
        </w:tc>
      </w:tr>
      <w:tr>
        <w:tc>
          <w:tcPr/>
          <w:p>
            <w:pPr>
              <w:jc w:val="left"/>
            </w:pPr>
            <w:r>
              <w:t xml:space="preserve">Возможности обособить денежный поток, возникающий в результате использования наименьшей идентифицируемой группы активов, пригодной для получения положительных денежных потоков, из общего денежного потока, полученного в рамках деятельности, нет. Соответственно нет возможности идентифицировать единицу, генерирующую денежные потоки (единица ГДП).</w:t>
            </w:r>
          </w:p>
        </w:tc>
      </w:tr>
      <w:tr>
        <w:tc>
          <w:tcPr/>
          <w:p>
            <w:pPr>
              <w:pStyle w:val="Compact"/>
            </w:pPr>
          </w:p>
        </w:tc>
      </w:tr>
      <w:tr>
        <w:tc>
          <w:tcPr/>
          <w:p>
            <w:pPr>
              <w:jc w:val="left"/>
            </w:pPr>
            <w:r>
              <w:rPr>
                <w:bCs/>
                <w:b/>
              </w:rPr>
              <w:t xml:space="preserve">Раскрытие информации по совокупным убыткам от обесценения актива и совокупному восстановлению убытка от обесценения актива, признанным в течение отчетного периода в части отражения данных об основных группах активов, на которые влияют убытки от обесценения актива, и основных группах активов, на которые влияют восстановления убытков от обесценения актива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Раскрытие информации по совокупным убыткам от обесценения актива и совокупному восстановлению убытка от обесценения актива, признанным в течение отчетного периода в части отражения основных событий и обстоятельств, которые привели к признанию этих убытков от обесценения актива и их восстановлению</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увеличения дебиторской и кредиторской задолженности, в том числе просроченной, по состоянию на отчетную дату в сравнении с данными за аналогичный отчетный период прошлого финансового года</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Анализ остатков дебиторской (кредиторской) задолженности, в том числе просроченной на конец отчетного периода (на основании ф.0503169).</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Информация об отсутствии в отчете показателей просроченной дебиторской (кредиторской) задолженности, а также отсутствии показателей по недостачам и хищениям</w:t>
            </w:r>
          </w:p>
        </w:tc>
      </w:tr>
      <w:tr>
        <w:tc>
          <w:tcPr/>
          <w:p>
            <w:pPr>
              <w:jc w:val="left"/>
            </w:pPr>
            <w:r>
              <w:t xml:space="preserve">Показатели просроченной дебиторской (кредиторской) задолженности, а также показатели по недостчам и хищениям отсутствуют.</w:t>
            </w:r>
          </w:p>
        </w:tc>
      </w:tr>
      <w:tr>
        <w:tc>
          <w:tcPr/>
          <w:p>
            <w:pPr>
              <w:pStyle w:val="Compact"/>
            </w:pPr>
          </w:p>
        </w:tc>
      </w:tr>
      <w:tr>
        <w:tc>
          <w:tcPr/>
          <w:p>
            <w:pPr>
              <w:jc w:val="left"/>
            </w:pPr>
            <w:r>
              <w:rPr>
                <w:bCs/>
                <w:b/>
              </w:rPr>
              <w:t xml:space="preserve">Анализ увеличения (уменьшения) показателей финансовых вложений в сравнении с показателями на начало года (на основании ф.0503171). Причины наличия показателей (не нулевых) незавершенных финансовых вложений (в графе 2 Сведений (ф. 0503171)</w:t>
            </w:r>
          </w:p>
        </w:tc>
      </w:tr>
      <w:tr>
        <w:tc>
          <w:tcPr/>
          <w:p>
            <w:pPr>
              <w:jc w:val="left"/>
            </w:pPr>
            <w:r>
              <w:t xml:space="preserve">За отчетный период данные о финансовых вложениях и вложениях в финансовые активы учреждения отсутствуют</w:t>
            </w:r>
          </w:p>
        </w:tc>
      </w:tr>
      <w:tr>
        <w:tc>
          <w:tcPr/>
          <w:p>
            <w:pPr>
              <w:pStyle w:val="Compact"/>
            </w:pPr>
          </w:p>
        </w:tc>
      </w:tr>
      <w:tr>
        <w:tc>
          <w:tcPr/>
          <w:p>
            <w:pPr>
              <w:jc w:val="left"/>
            </w:pPr>
            <w:r>
              <w:rPr>
                <w:bCs/>
                <w:b/>
              </w:rPr>
              <w:t xml:space="preserve">Анализ увеличения (уменьшения) показателей государственного долга в сравнении с показателями на начало года (на основании ф.0503172)</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долговым обязательствам, классифицированным в бухгалтерской (финансовой) отчетности как краткосрочные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рефинансирование на долгосрочный период</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устранение нарушения соглашения о долгосрочном финансировании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получение от кредитора отсрочки исполнения обязательств на период, оканчивающийся не ранее чем через 12 месяцев после отчетной даты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об изменении остатков валюты баланса отраженная в ф.0503173</w:t>
            </w:r>
          </w:p>
        </w:tc>
      </w:tr>
      <w:tr>
        <w:tc>
          <w:tcPr/>
          <w:p>
            <w:pPr>
              <w:jc w:val="left"/>
            </w:pPr>
            <w:r>
              <w:t xml:space="preserve">Информация отсутствует.</w:t>
            </w:r>
          </w:p>
        </w:tc>
      </w:tr>
      <w:tr>
        <w:tc>
          <w:tcPr/>
          <w:p>
            <w:pPr>
              <w:pStyle w:val="Compact"/>
            </w:pPr>
          </w:p>
        </w:tc>
      </w:tr>
      <w:tr>
        <w:tc>
          <w:tcPr/>
          <w:p>
            <w:pPr>
              <w:jc w:val="left"/>
            </w:pPr>
            <w:r>
              <w:rPr>
                <w:bCs/>
                <w:b/>
              </w:rPr>
              <w:t xml:space="preserve">Анализ показателей по доходам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(на основании ф.0503174) (причины наличия или отсутствия задолженности на конец отчетного периода, причины отклонений количества предприятий и организаций, отраженных в форме 0503174 от формы 0503171), в том числе анализ отклонений количества предприятий и организаций, отраженных в ф.0503171 и ф.0503174 с расшифровкой по ГУП и АО</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раскрывающая причины неисполнения бюджетных и денежных обязательств по показателям ф.0503175 с кодами причин неисполнения «75» и «99» (иные причины)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(целях) открытия счетов в кредитных организациях, о причинах образования остатка денежных средств на счетах, а также обоснование необходимости наличия банковских счетов в случае отсутствия по ним операций в течении 2-х и более лет (на основании ф.0503178-бюжетная деятельность)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(целях) открытия счетов в кредитных организациях, о причинах образования остатка денежных средств на счетах в кредитной организации (на основании ф.0503178-средства во временном распоряжении)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Анализ увеличения (уменьшения) показателей вложений в объекты недвижимого имущества, в объекты незавершенного строительства с показателями на начало года, информация о результатах проведения инвентаризации капитальных вложений, другая существенная информация (на основании ф.0503190)</w:t>
            </w:r>
          </w:p>
        </w:tc>
      </w:tr>
      <w:tr>
        <w:tc>
          <w:tcPr/>
          <w:p>
            <w:pPr>
              <w:jc w:val="left"/>
            </w:pPr>
            <w:r>
              <w:t xml:space="preserve">Вложения в объекты недвижимости в отчетном году не проводились, объектов незавершенного сторительства нет</w:t>
            </w:r>
          </w:p>
        </w:tc>
      </w:tr>
      <w:tr>
        <w:tc>
          <w:tcPr/>
          <w:p>
            <w:pPr>
              <w:pStyle w:val="Compact"/>
            </w:pPr>
          </w:p>
        </w:tc>
      </w:tr>
      <w:tr>
        <w:tc>
          <w:tcPr/>
          <w:p>
            <w:pPr>
              <w:jc w:val="left"/>
            </w:pPr>
            <w:r>
              <w:rPr>
                <w:bCs/>
                <w:b/>
              </w:rPr>
              <w:t xml:space="preserve">Характеристика вложений в объекты недвижимого имущества, в объекты незавершенного строительства, отраженных в ф.0503190 по кодам статуса объекта - 05 «иной статус объекта» и 28 «иное основание выбытия», а так же по коду целевой функции объекта - 12 «иная целевая функция»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раскрывающая показатели ф.0503123 «Отчет о движении денежных средств»</w:t>
            </w:r>
          </w:p>
        </w:tc>
      </w:tr>
      <w:tr>
        <w:tc>
          <w:tcPr/>
          <w:p>
            <w:pPr>
              <w:jc w:val="left"/>
            </w:pPr>
            <w:r>
              <w:t xml:space="preserve">Движение денежных средств на лицевом счете учреждения, открытого в финансовом органе, раскрыта в форме 0503123, иной информации нет.</w:t>
            </w:r>
          </w:p>
        </w:tc>
      </w:tr>
      <w:tr>
        <w:tc>
          <w:tcPr/>
          <w:p>
            <w:pPr>
              <w:pStyle w:val="Compact"/>
            </w:pPr>
          </w:p>
        </w:tc>
      </w:tr>
      <w:tr>
        <w:tc>
          <w:tcPr/>
          <w:p>
            <w:pPr>
              <w:jc w:val="left"/>
            </w:pPr>
            <w:r>
              <w:rPr>
                <w:bCs/>
                <w:b/>
              </w:rPr>
              <w:t xml:space="preserve">Раскрытие информации о суммах денежных потоков между субъектом отчетности и организацией (при условии если доля участия субъекта отчетности в капитале (имуществе) организации составляет более 20 процентов голосующих акций (долей, паев, вкладов)), по направлениям поступлений и выбытий денежных средств, перечисленным в Федеральном стандарте «Отчет о движении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на основании учетной политики: используемые подходы для определения структуры денежных средств и эквивалентов денежных средств, классификации денежных потоков, не указанных в Федеральном стандарте «Отчет о движении денежных средств», осуществления пересчета в рубли величины денежных потоков в иностранной валюте, а также другие пояснения, необходимые для понимания информации, представленной в Отчете о движении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Состав денежных средств и эквивалентов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сверке сумм денежных средств и эквивалентов денежных средств, отраженных в Отчете о движении денежных средств, со статьей «Денежные средства и эквиваленты денежных средств» бухгалтерского баланса и иных отчетов, содержащих информацию об остатках и изменениях денежных средств и эквивалентов денежных средств</w:t>
            </w:r>
          </w:p>
        </w:tc>
      </w:tr>
      <w:tr>
        <w:tc>
          <w:tcPr/>
          <w:p>
            <w:pPr>
              <w:jc w:val="left"/>
            </w:pPr>
            <w:r>
              <w:t xml:space="preserve">Сверка показателей осуществлена на основании установленных междокументных контрольных соотношений. Пояснение отклонений отражено в Разделе 5.2. настоящей Пояснительной записки.</w:t>
            </w:r>
          </w:p>
        </w:tc>
      </w:tr>
      <w:tr>
        <w:tc>
          <w:tcPr/>
          <w:p>
            <w:pPr>
              <w:pStyle w:val="Compact"/>
            </w:pPr>
          </w:p>
        </w:tc>
      </w:tr>
      <w:tr>
        <w:tc>
          <w:tcPr/>
          <w:p>
            <w:pPr>
              <w:jc w:val="left"/>
            </w:pPr>
            <w:r>
              <w:rPr>
                <w:bCs/>
                <w:b/>
              </w:rPr>
              <w:t xml:space="preserve">Сверка итоговых показателей Отчета о движении денежных средств с показателями Отчета об исполнении бюджета</w:t>
            </w:r>
          </w:p>
        </w:tc>
      </w:tr>
      <w:tr>
        <w:tc>
          <w:tcPr/>
          <w:p>
            <w:pPr>
              <w:jc w:val="left"/>
            </w:pPr>
            <w:r>
              <w:t xml:space="preserve">Сверка показателей осуществлена на основании установленных междокументных контрольных соотношений. Пояснение отклонений отражено в Разделе 5.2. настоящей Пояснительной записки.</w:t>
            </w:r>
          </w:p>
        </w:tc>
      </w:tr>
      <w:tr>
        <w:tc>
          <w:tcPr/>
          <w:p>
            <w:pPr>
              <w:pStyle w:val="Compact"/>
            </w:pPr>
          </w:p>
        </w:tc>
      </w:tr>
      <w:tr>
        <w:tc>
          <w:tcPr/>
          <w:p>
            <w:pPr>
              <w:jc w:val="left"/>
            </w:pPr>
            <w:r>
              <w:rPr>
                <w:bCs/>
                <w:b/>
              </w:rPr>
              <w:t xml:space="preserve">Сверка суммы денежных потоков от текущих операций, представленной в Отчете о движении денежных средств, и чистого операционного результата, отраженного в Отчете о финансовых результатах деятельности</w:t>
            </w:r>
          </w:p>
        </w:tc>
      </w:tr>
      <w:tr>
        <w:tc>
          <w:tcPr/>
          <w:p>
            <w:pPr>
              <w:jc w:val="left"/>
            </w:pPr>
            <w:r>
              <w:t xml:space="preserve">Сверка показателей осуществлена на основании установленных междокументных контрольных соотношений. Пояснение отклонений отражено в Разделе 5.2. настоящей Пояснительной записки.</w:t>
            </w:r>
          </w:p>
        </w:tc>
      </w:tr>
      <w:tr>
        <w:tc>
          <w:tcPr/>
          <w:p>
            <w:pPr>
              <w:pStyle w:val="Compact"/>
            </w:pPr>
          </w:p>
        </w:tc>
      </w:tr>
      <w:tr>
        <w:tc>
          <w:tcPr/>
          <w:p>
            <w:pPr>
              <w:jc w:val="left"/>
            </w:pPr>
            <w:r>
              <w:rPr>
                <w:bCs/>
                <w:b/>
              </w:rPr>
              <w:t xml:space="preserve">Информация в отношении каждого приобретения или продажи организации, доля участия субъекта отчетности в капитале (имуществе) которой составляет более 50 процентов голосующих акций (долей, паев, вкладов) - общая сумма дохода или расхода от операции приобретения или продажи организации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каждого приобретения или продажи организации, доля участия субъекта отчетности в капитале (имуществе) которой составляет более 50 процентов голосующих акций (долей, паев, вкладов) - сумма денежных потоков, полученных или уплаченных от операции приобретения или продажи организации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остаткам отраженным по счету бюджетного учета 120134000 «Касса»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остаткам отраженным по счету бюджетного учета 120135000 «Денежные документы» (на основании ф.0503130)</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раскрывающая показатели ф.0503130</w:t>
            </w:r>
          </w:p>
        </w:tc>
      </w:tr>
      <w:tr>
        <w:tc>
          <w:tcPr/>
          <w:p>
            <w:pPr>
              <w:jc w:val="left"/>
            </w:pPr>
            <w:r>
              <w:t xml:space="preserve">Вся информация, раскрывающие показатели, показана в 0503130</w:t>
            </w:r>
          </w:p>
        </w:tc>
      </w:tr>
      <w:tr>
        <w:tc>
          <w:tcPr/>
          <w:p>
            <w:pPr>
              <w:pStyle w:val="Compact"/>
            </w:pPr>
          </w:p>
        </w:tc>
      </w:tr>
      <w:tr>
        <w:tc>
          <w:tcPr/>
          <w:p>
            <w:pPr>
              <w:jc w:val="left"/>
            </w:pPr>
            <w:r>
              <w:rPr>
                <w:bCs/>
                <w:b/>
              </w:rPr>
              <w:t xml:space="preserve">Информация по счету бюджетного учета 140140ХХХ в разрезе КОСГУ</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Информация по счету бюджетного учета 140150ХХХ в разрезе КОСГУ</w:t>
            </w:r>
          </w:p>
        </w:tc>
      </w:tr>
      <w:tr>
        <w:tc>
          <w:tcPr/>
          <w:p>
            <w:pPr>
              <w:jc w:val="left"/>
            </w:pPr>
            <w:r>
              <w:t xml:space="preserve">Информация представлена в приложении к Пояснительной записке «Расшифровка показателей по счету 1 401 50 000 «Расходы будущих периодов»,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140160ХХХ в разрезе КОСГУ</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Расшифровка показателей по забалансовому счету 01 «Имущество, полученное в пользование»</w:t>
            </w:r>
          </w:p>
        </w:tc>
      </w:tr>
      <w:tr>
        <w:tc>
          <w:tcPr/>
          <w:p>
            <w:pPr>
              <w:jc w:val="left"/>
            </w:pPr>
            <w:r>
              <w:t xml:space="preserve">За управой Красносельского района города Москвы на праве оперативного управления закреплены:1.107045, Москва, Сретенка ул, дом № 24/2, строение1 -нежилое помещение площадью 96,3 кв.м 1 этаж, для Досуговых Услуг; 2. 107078, Москва г, Маши Порываевой ул, дом № 38- нежилое помещение площадью358,5 кв.м, ; 3.107078, Москва г, Садовая-Спасская ул, дом № 19, корпус 1-нежилое помещение 2 этаж, помещение II ,комнаты1-14; для Досуговых Услуг; 4.105066, Москва г, Красносельская Нижн. ул, дом № 21-нежилое помещение площадью 29,0 кв.м для ОПОП; 5. 129090, Москва г, Каланчевская ул, дом № 47- нежилое помещение площадью 60,9кв.м для ОПОП ; 6.129090, Москва г, Коптельский 1-й пер, дом № 20-нежилое помещение площадью 66,4кв.м для совета ветеранов ; 7. 107140, Москва г, Красносельский 3-й пер, дом № 6-нежилое помещение площадью 19,1 кв м для ОПОП; 8. Москва г, Сретенский б, дом № 6/1, корпус 2-нежилое помещение площадью 27,1 кв м для СВ; 9. Москва, ул. Садовая-Спасская,21/1 для СВ,</w:t>
            </w:r>
          </w:p>
        </w:tc>
      </w:tr>
      <w:tr>
        <w:tc>
          <w:tcPr/>
          <w:p>
            <w:pPr>
              <w:pStyle w:val="Compact"/>
            </w:pPr>
          </w:p>
        </w:tc>
      </w:tr>
      <w:tr>
        <w:tc>
          <w:tcPr/>
          <w:p>
            <w:pPr>
              <w:jc w:val="left"/>
            </w:pPr>
            <w:r>
              <w:rPr>
                <w:bCs/>
                <w:b/>
              </w:rPr>
              <w:t xml:space="preserve">Расшифровка показателей по забалансовому счету 02 «Материальные ценности на хранении»</w:t>
            </w:r>
          </w:p>
        </w:tc>
      </w:tr>
      <w:tr>
        <w:tc>
          <w:tcPr/>
          <w:p>
            <w:pPr>
              <w:jc w:val="left"/>
            </w:pPr>
            <w:r>
              <w:t xml:space="preserve">По состоянию на 01.01.2020г. на забалансовом счете 02 "Материальные ценности на хранении" числится имущество,переданное во временное пользование -43,00 руб.</w:t>
            </w:r>
          </w:p>
        </w:tc>
      </w:tr>
      <w:tr>
        <w:tc>
          <w:tcPr/>
          <w:p>
            <w:pPr>
              <w:pStyle w:val="Compact"/>
            </w:pPr>
          </w:p>
        </w:tc>
      </w:tr>
      <w:tr>
        <w:tc>
          <w:tcPr/>
          <w:p>
            <w:pPr>
              <w:jc w:val="left"/>
            </w:pPr>
            <w:r>
              <w:rPr>
                <w:bCs/>
                <w:b/>
              </w:rPr>
              <w:t xml:space="preserve">Расшифровка показателей по забалансовому счету 03 «Бланки строгой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04 «Сомнительная задолженность»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05 «Материальные ценности, оплаченные по централизованному снабжению»</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06 «Задолженность учащихся и студентов за невозвращенные материальные ценности»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07 «Награды, призы, кубки и ценные подарки, сувениры»</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08 «Путевки неоплаченные»</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09 «Запасные части к транспортным средствам, выданные взамен изношенных»</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10 «Обеспечение исполнения обязательств»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11 «Государственные и муниципальные гарантии»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12 «Спецоборудование для выполнения научно-исследовательских работ по договорам с заказчиками»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13 «Экспериментальные устройства»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14 «Расчетные документы, ожидающие исполнения»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16 «Переплаты пенсий и пособий вследствие неправильного применения законодательства о пенсиях и пособиях, счетных ошибок»</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17 «Поступления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18 «Выбытия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19 «Невыясненные поступления прошлых лет»</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20 «Задолженность, невостребованная кредиторами»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21 «Основные средства в эксплуатации»</w:t>
            </w:r>
          </w:p>
        </w:tc>
      </w:tr>
      <w:tr>
        <w:tc>
          <w:tcPr/>
          <w:p>
            <w:pPr>
              <w:jc w:val="left"/>
            </w:pPr>
            <w:r>
              <w:t xml:space="preserve">По итогам на 01.01.2021 на забалансовом счете 21 Основные средства в эксплуатации числится ОС на сумму 595 574.00руб.</w:t>
            </w:r>
          </w:p>
        </w:tc>
      </w:tr>
      <w:tr>
        <w:tc>
          <w:tcPr/>
          <w:p>
            <w:pPr>
              <w:pStyle w:val="Compact"/>
            </w:pPr>
          </w:p>
        </w:tc>
      </w:tr>
      <w:tr>
        <w:tc>
          <w:tcPr/>
          <w:p>
            <w:pPr>
              <w:jc w:val="left"/>
            </w:pPr>
            <w:r>
              <w:rPr>
                <w:bCs/>
                <w:b/>
              </w:rPr>
              <w:t xml:space="preserve">Расшифровка показателей по забалансовому счету 22 «Материальные ценности, полученные по централизованному снабжению»</w:t>
            </w:r>
          </w:p>
        </w:tc>
      </w:tr>
      <w:tr>
        <w:tc>
          <w:tcPr/>
          <w:p>
            <w:pPr>
              <w:jc w:val="left"/>
            </w:pPr>
            <w:r>
              <w:t xml:space="preserve">По состоянию на 01.01.2021г по забалансовому счету 22 "Материальные ценности, полученные по централизованному снабжению" числится ОС на сумму- 248420.00руб.</w:t>
            </w:r>
          </w:p>
        </w:tc>
      </w:tr>
      <w:tr>
        <w:tc>
          <w:tcPr/>
          <w:p>
            <w:pPr>
              <w:pStyle w:val="Compact"/>
            </w:pPr>
          </w:p>
        </w:tc>
      </w:tr>
      <w:tr>
        <w:tc>
          <w:tcPr/>
          <w:p>
            <w:pPr>
              <w:jc w:val="left"/>
            </w:pPr>
            <w:r>
              <w:rPr>
                <w:bCs/>
                <w:b/>
              </w:rPr>
              <w:t xml:space="preserve">Расшифровка показателей по забалансовому счету 23 «Периодические издания для пользования»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24 «Нефинансовые активы, переданные в доверительное управление»</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25 «Имущество, переданное в возмездное пользование (аренду)»</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26 «Имущество, переданное в безвозмездное пользование»</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27 «Материальные ценности, выданные в личное пользование работникам (сотрудникам)»</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29 «Представленные субсидии на приобретение жилья»</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30 «Расчеты по исполнению денежных обязательств через третьих лиц»</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31 «Акции по номинальной стоимости»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40 «Финансовые активы в управляющих компаниях»</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42 «Бюджетные инвестиции, реализуемые организациями»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счету бюджетного учета 140110171</w:t>
            </w:r>
          </w:p>
        </w:tc>
      </w:tr>
      <w:tr>
        <w:tc>
          <w:tcPr/>
          <w:p>
            <w:pPr>
              <w:jc w:val="left"/>
            </w:pPr>
            <w:r>
              <w:t xml:space="preserve">Информация представлена в приложении к Пояснительной записке «Расшифровка показателей по счету 1 401 10 171 «Доходы от переоценки активов и обязательств»,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140110173</w:t>
            </w:r>
          </w:p>
        </w:tc>
      </w:tr>
      <w:tr>
        <w:tc>
          <w:tcPr/>
          <w:p>
            <w:pPr>
              <w:jc w:val="left"/>
            </w:pPr>
            <w:r>
              <w:t xml:space="preserve">Информация представлена в приложении к Пояснительной записке «Расшифровка показателей по счету 1 401 10 173 «Чрезвычайные доходы от операций с активами»,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140110180</w:t>
            </w:r>
          </w:p>
        </w:tc>
      </w:tr>
      <w:tr>
        <w:tc>
          <w:tcPr/>
          <w:p>
            <w:pPr>
              <w:jc w:val="left"/>
            </w:pPr>
            <w:r>
              <w:t xml:space="preserve">Информация представлена в приложении к Пояснительной записке «Расшифровка показателей по счету 1 401 10 180 «Прочие доходы»,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140110190</w:t>
            </w:r>
          </w:p>
        </w:tc>
      </w:tr>
      <w:tr>
        <w:tc>
          <w:tcPr/>
          <w:p>
            <w:pPr>
              <w:jc w:val="left"/>
            </w:pPr>
            <w:r>
              <w:t xml:space="preserve">Информация представлена в приложении к Пояснительной записке «Расшифровка показателей по счету 1 401 10 190 «Безвозмездные неденежные поступления в сектор государственного управления»,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по счету бюджетного учета 140120273</w:t>
            </w:r>
          </w:p>
        </w:tc>
      </w:tr>
      <w:tr>
        <w:tc>
          <w:tcPr/>
          <w:p>
            <w:pPr>
              <w:jc w:val="left"/>
            </w:pPr>
            <w:r>
              <w:t xml:space="preserve">Информация представлена в приложении к Пояснительной записке «Расшифровка показателей по счету 1 401 20 273 «Чрезвычайные расходы по операциям с активами», отраженных в Отчете о финансовых результатах деятельности (ф. 0503121)»</w:t>
            </w:r>
          </w:p>
        </w:tc>
      </w:tr>
      <w:tr>
        <w:tc>
          <w:tcPr/>
          <w:p>
            <w:pPr>
              <w:pStyle w:val="Compact"/>
            </w:pPr>
          </w:p>
        </w:tc>
      </w:tr>
      <w:tr>
        <w:tc>
          <w:tcPr/>
          <w:p>
            <w:pPr>
              <w:jc w:val="left"/>
            </w:pPr>
            <w:r>
              <w:rPr>
                <w:bCs/>
                <w:b/>
              </w:rPr>
              <w:t xml:space="preserve">Информация, отражающая характер реклассификации показателей отчетности субъектом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отражающая стоимостные показатели отчетности, подлежащие реклассификации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отражающая причины реклассификации показателей отчетности</w:t>
            </w:r>
          </w:p>
        </w:tc>
      </w:tr>
      <w:tr>
        <w:tc>
          <w:tcPr/>
          <w:p>
            <w:pPr>
              <w:jc w:val="left"/>
            </w:pPr>
            <w:r>
              <w:t xml:space="preserve">Приказ Минфина России от 31 марта 2018 г. N 64н"О внесении изменений в приложения N 1 и N 2 к приказу Министерства финансов Российской Федерации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tc>
      </w:tr>
      <w:tr>
        <w:tc>
          <w:tcPr/>
          <w:p>
            <w:pPr>
              <w:pStyle w:val="Compact"/>
            </w:pPr>
          </w:p>
        </w:tc>
      </w:tr>
      <w:tr>
        <w:tc>
          <w:tcPr/>
          <w:p>
            <w:pPr>
              <w:jc w:val="left"/>
            </w:pPr>
            <w:r>
              <w:rPr>
                <w:bCs/>
                <w:b/>
              </w:rPr>
              <w:t xml:space="preserve">Отражение причин, по которым не производилась реклассификация показателей отчетности, при условии, если реклассификация показателей отчетности за предыдущий отчетный период субъектом отчетности не осуществлялась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Отражение характера корректировок показателей бухгалтерской (финансовой) отчетности, которые были бы произведены в случае реклассификации показателей отчетности, при условии, если реклассификация показателей отчетности за предыдущий отчетный период субъектом отчетности не осуществлялась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сверке на отчетную дату общей суммы арендных платежей с общей суммой их дисконтированных стоимостей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общей сумме процентных доходов и процентных расходов, признанных за отчетный период</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произведенной сверке на отчетную дату общей суммы арендных платежей с общей суммой их дисконтированных стоимостей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общей сумме процентных доходов и процентных расходов, признанных за отчетный период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произведенной сверке на отчетную, показателей общей суммы арендных платежей (в том числе по договорам о субаренде (поднайма) с общей суммой их дисконтированных стоимостей по группам объектов учета аренды, сформированным исходя из их сроков полезного использования - до одного года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произведенной сверке на отчетную дату, показателей общей суммы арендных платежей (в том числе по договорам о субаренде (поднайма) с общей суммой их дисконтированных стоимостей по группам объектов учета аренды, сформированным исходя из их сроков полезного использования - от одного года до трех лет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произведенной сверке на отчетную дату, показателей общей суммы арендных платежей (в том числе по договорам о субаренде (поднайма) с общей суммой их дисконтированных стоимостей по группам объектов учета аренды, сформированным исходя из их сроков полезного использования - свыше трех лет (финансовая аренда)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общей сумме расходов (доходов) по условным арендным платежам, признанных в отчетном периоде в качестве расходов (доходов) текущего финансового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наличии условий продления срока пользования имуществом, условий о праве покупки (выкупа) используемого имущества (объекта учета аренды), а также положений о повышении арендных платежей, в том числе цены выкупа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основных принципах определения расходов (доходов) по условным арендным платежам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любых ограничениях, предусмотренных договором аренды (имущественного найма) или договором безвозмездного пользования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оказавшая существенное влияние и характеризующая показатели бюджетной отчетности за отчетный период, не нашедшая отражения формах отчетов, таблицах и приложениях, включаемых в раздел</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остаткам отраженным по счету бюджетного учета 120135000 «Денежные документы» (на основании ф.0503120)</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отраженная в ф.0503120</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показателям, отраженным со знаком «минус» в ф.0503169 по увеличению и (или) уменьшению дебиторской (кредиторской) задолженности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применяемом методе пересчета стоимости объектов бухгалтерского учета загранучреждения и дополнительно (при наличии) о его изменении относительно предыдущего отчетного периода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доходах в разрезе групп, подгрупп в зависимости от экономического содержания с обособлением сумм предоставленных льгот (скидок)</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доходах от подарков, пожертвований и других безвозмездно полученных ценностей, признанных в текущем отчетном периоде, и характер указанных ценностей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суммах дебиторской задолженности, признанной по необменным операциям</w:t>
            </w:r>
          </w:p>
        </w:tc>
      </w:tr>
      <w:tr>
        <w:tc>
          <w:tcPr/>
          <w:p>
            <w:pPr>
              <w:jc w:val="left"/>
            </w:pPr>
            <w:r>
              <w:t xml:space="preserve">Информация отражена в ф.0503169 по дебиторской задолженности</w:t>
            </w:r>
          </w:p>
        </w:tc>
      </w:tr>
      <w:tr>
        <w:tc>
          <w:tcPr/>
          <w:p>
            <w:pPr>
              <w:pStyle w:val="Compact"/>
            </w:pPr>
          </w:p>
        </w:tc>
      </w:tr>
      <w:tr>
        <w:tc>
          <w:tcPr/>
          <w:p>
            <w:pPr>
              <w:jc w:val="left"/>
            </w:pPr>
            <w:r>
              <w:rPr>
                <w:bCs/>
                <w:b/>
              </w:rPr>
              <w:t xml:space="preserve">Информация о суммах изменений доходов будущих периодов по видам доходов</w:t>
            </w:r>
          </w:p>
        </w:tc>
      </w:tr>
      <w:tr>
        <w:tc>
          <w:tcPr/>
          <w:p>
            <w:pPr>
              <w:jc w:val="left"/>
            </w:pPr>
            <w:r>
              <w:t xml:space="preserve">Информация отражена в ф.0503169 по кредиторской задолженности</w:t>
            </w:r>
          </w:p>
        </w:tc>
      </w:tr>
      <w:tr>
        <w:tc>
          <w:tcPr/>
          <w:p>
            <w:pPr>
              <w:pStyle w:val="Compact"/>
            </w:pPr>
          </w:p>
        </w:tc>
      </w:tr>
      <w:tr>
        <w:tc>
          <w:tcPr/>
          <w:p>
            <w:pPr>
              <w:jc w:val="left"/>
            </w:pPr>
            <w:r>
              <w:rPr>
                <w:bCs/>
                <w:b/>
              </w:rPr>
              <w:t xml:space="preserve">Информация о суммах обязательств по авансовым поступлениям (по доходам)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Пояснение причин несоответствия показателя изменения финансовых активов показателям кассовых расходов по указанным кодам видов расходов и (или) данным о передаче произведенных вложений в финансовые активы (по КОСГУ 530 «Увеличение стоимости акций и иных финансовых инструментов»)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счету бюджетного учета 140110176</w:t>
            </w:r>
          </w:p>
        </w:tc>
      </w:tr>
      <w:tr>
        <w:tc>
          <w:tcPr/>
          <w:p>
            <w:pPr>
              <w:jc w:val="left"/>
            </w:pPr>
            <w:r>
              <w:t xml:space="preserve">Информация представлена в приложении к Пояснительной записке «Расшифровка показателей по счету 1 401 10 176 «Доходы от оценки активов и обязательств», отраженных в Отчете о финансовых результатах деятельности (ф. 0503121) (справочно)»</w:t>
            </w:r>
          </w:p>
        </w:tc>
      </w:tr>
      <w:tr>
        <w:tc>
          <w:tcPr/>
          <w:p>
            <w:pPr>
              <w:pStyle w:val="Compact"/>
            </w:pPr>
          </w:p>
        </w:tc>
      </w:tr>
      <w:tr>
        <w:tc>
          <w:tcPr/>
          <w:p>
            <w:pPr>
              <w:jc w:val="left"/>
            </w:pPr>
            <w:r>
              <w:rPr>
                <w:bCs/>
                <w:b/>
              </w:rPr>
              <w:t xml:space="preserve">Информация о количестве связанных сторон, для следующей группы организаций: коммерческие организации (за исключением государственных (муниципальных) унитарных предприятий), в случае если у субъекта отчетности доля участия в капитале (имуществе) составляет более 50 процентов общего количества голосующих акций (долей, паев, вкладов)</w:t>
            </w:r>
          </w:p>
        </w:tc>
      </w:tr>
      <w:tr>
        <w:tc>
          <w:tcPr/>
          <w:p>
            <w:pPr>
              <w:pStyle w:val="Compact"/>
            </w:pPr>
          </w:p>
        </w:tc>
      </w:tr>
      <w:tr>
        <w:tc>
          <w:tcPr/>
          <w:p>
            <w:pPr>
              <w:pStyle w:val="Compact"/>
            </w:pPr>
          </w:p>
        </w:tc>
      </w:tr>
      <w:tr>
        <w:tc>
          <w:tcPr/>
          <w:p>
            <w:pPr>
              <w:jc w:val="left"/>
            </w:pPr>
            <w:r>
              <w:rPr>
                <w:bCs/>
                <w:b/>
              </w:rPr>
              <w:t xml:space="preserve">Информация о количестве связанных сторон, для следующей группы организаций: некоммерческие организации (за исключением государственных (муниципальных) учреждений), в случае если у субъекта отчетности доля участия в капитале (имуществе) составляет более 50 процентов общего количества голосующих акций (долей, паев, вкладов)</w:t>
            </w:r>
          </w:p>
        </w:tc>
      </w:tr>
      <w:tr>
        <w:tc>
          <w:tcPr/>
          <w:p>
            <w:pPr>
              <w:pStyle w:val="Compact"/>
            </w:pPr>
          </w:p>
        </w:tc>
      </w:tr>
      <w:tr>
        <w:tc>
          <w:tcPr/>
          <w:p>
            <w:pPr>
              <w:pStyle w:val="Compact"/>
            </w:pPr>
          </w:p>
        </w:tc>
      </w:tr>
      <w:tr>
        <w:tc>
          <w:tcPr/>
          <w:p>
            <w:pPr>
              <w:jc w:val="left"/>
            </w:pPr>
            <w:r>
              <w:rPr>
                <w:bCs/>
                <w:b/>
              </w:rPr>
              <w:t xml:space="preserve">Информация об операциях со связанными сторонами: описание характера отношений субъекта отчетности и связанной стороны</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безвозмездное перечисление (передача) активов</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предоставление (получение) кредитов, займов, ссуд</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реализация товаров, выполнение работ, оказание услуг</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операции с иным государственным (муниципальным) имуществом</w:t>
            </w:r>
          </w:p>
        </w:tc>
      </w:tr>
      <w:tr>
        <w:tc>
          <w:tcPr/>
          <w:p>
            <w:pPr>
              <w:pStyle w:val="Compact"/>
            </w:pPr>
          </w:p>
        </w:tc>
      </w:tr>
      <w:tr>
        <w:tc>
          <w:tcPr/>
          <w:p>
            <w:pPr>
              <w:pStyle w:val="Compact"/>
            </w:pPr>
          </w:p>
        </w:tc>
      </w:tr>
      <w:tr>
        <w:tc>
          <w:tcPr/>
          <w:p>
            <w:pPr>
              <w:jc w:val="left"/>
            </w:pPr>
            <w:r>
              <w:rPr>
                <w:bCs/>
                <w:b/>
              </w:rPr>
              <w:t xml:space="preserve">Виды операций со связанными сторонами, осуществленные в отчетном периоде: прочие операции</w:t>
            </w:r>
          </w:p>
        </w:tc>
      </w:tr>
      <w:tr>
        <w:tc>
          <w:tcPr/>
          <w:p>
            <w:pPr>
              <w:pStyle w:val="Compact"/>
            </w:pPr>
          </w:p>
        </w:tc>
      </w:tr>
      <w:tr>
        <w:tc>
          <w:tcPr/>
          <w:p>
            <w:pPr>
              <w:pStyle w:val="Compact"/>
            </w:pPr>
          </w:p>
        </w:tc>
      </w:tr>
      <w:tr>
        <w:tc>
          <w:tcPr/>
          <w:p>
            <w:pPr>
              <w:jc w:val="left"/>
            </w:pPr>
            <w:r>
              <w:rPr>
                <w:bCs/>
                <w:b/>
              </w:rPr>
              <w:t xml:space="preserve">Описание основных условий операций со связанными сторонами каждого вида с указанием отличий условий таких операций от условий аналогичных фактов хозяйственной жизни (операций) с юридическими (физическими) лицами, которые не являются связанными сторонами субъекта отчетности</w:t>
            </w:r>
          </w:p>
        </w:tc>
      </w:tr>
      <w:tr>
        <w:tc>
          <w:tcPr/>
          <w:p>
            <w:pPr>
              <w:pStyle w:val="Compact"/>
            </w:pPr>
          </w:p>
        </w:tc>
      </w:tr>
      <w:tr>
        <w:tc>
          <w:tcPr/>
          <w:p>
            <w:pPr>
              <w:pStyle w:val="Compact"/>
            </w:pPr>
          </w:p>
        </w:tc>
      </w:tr>
      <w:tr>
        <w:tc>
          <w:tcPr/>
          <w:p>
            <w:pPr>
              <w:jc w:val="left"/>
            </w:pPr>
            <w:r>
              <w:rPr>
                <w:bCs/>
                <w:b/>
              </w:rPr>
              <w:t xml:space="preserve">Информация об объеме операций со связанными сторонами каждого вида в денежном выражении с выделением сумм операций со связанными сторонами, расчеты по которым не завершены, в том числе: описание условий и сроков осуществления (завершения) расчетов по операциям со связанными сторонами, а также формы расчетов</w:t>
            </w:r>
          </w:p>
        </w:tc>
      </w:tr>
      <w:tr>
        <w:tc>
          <w:tcPr/>
          <w:p>
            <w:pPr>
              <w:pStyle w:val="Compact"/>
            </w:pPr>
          </w:p>
        </w:tc>
      </w:tr>
      <w:tr>
        <w:tc>
          <w:tcPr/>
          <w:p>
            <w:pPr>
              <w:pStyle w:val="Compact"/>
            </w:pPr>
          </w:p>
        </w:tc>
      </w:tr>
      <w:tr>
        <w:tc>
          <w:tcPr/>
          <w:p>
            <w:pPr>
              <w:jc w:val="left"/>
            </w:pPr>
            <w:r>
              <w:rPr>
                <w:bCs/>
                <w:b/>
              </w:rPr>
              <w:t xml:space="preserve">Информация об объеме операций со связанными сторонами каждого вида в денежном выражении с выделением сумм операций со связанными сторонами, расчеты по которым не завершены, в том числе: величина образованных резервов по сомнительным долгам на конец отчетного периода</w:t>
            </w:r>
          </w:p>
        </w:tc>
      </w:tr>
      <w:tr>
        <w:tc>
          <w:tcPr/>
          <w:p>
            <w:pPr>
              <w:pStyle w:val="Compact"/>
            </w:pPr>
          </w:p>
        </w:tc>
      </w:tr>
      <w:tr>
        <w:tc>
          <w:tcPr/>
          <w:p>
            <w:pPr>
              <w:pStyle w:val="Compact"/>
            </w:pPr>
          </w:p>
        </w:tc>
      </w:tr>
      <w:tr>
        <w:tc>
          <w:tcPr/>
          <w:p>
            <w:pPr>
              <w:jc w:val="left"/>
            </w:pPr>
            <w:r>
              <w:rPr>
                <w:bCs/>
                <w:b/>
              </w:rPr>
              <w:t xml:space="preserve">Информация об объеме операций со связанными сторонами каждого вида в денежном выражении с выделением сумм операций со связанными сторонами, расчеты по которым не завершены, в том числе: величина списанной дебиторской задолженности, по которой срок исковой давности истек, других долгов, нереальных для взыскания, в том числе за счет резерва по сомнительным долгам</w:t>
            </w:r>
          </w:p>
        </w:tc>
      </w:tr>
      <w:tr>
        <w:tc>
          <w:tcPr/>
          <w:p>
            <w:pPr>
              <w:pStyle w:val="Compact"/>
            </w:pPr>
          </w:p>
        </w:tc>
      </w:tr>
      <w:tr>
        <w:tc>
          <w:tcPr/>
          <w:p>
            <w:pPr>
              <w:pStyle w:val="Compact"/>
            </w:pPr>
          </w:p>
        </w:tc>
      </w:tr>
      <w:tr>
        <w:tc>
          <w:tcPr/>
          <w:p>
            <w:pPr>
              <w:jc w:val="left"/>
            </w:pPr>
            <w:r>
              <w:rPr>
                <w:bCs/>
                <w:b/>
              </w:rPr>
              <w:t xml:space="preserve">Информация по каждому виду резерва: сумма на начало и конец отчетного периода</w:t>
            </w:r>
          </w:p>
        </w:tc>
      </w:tr>
      <w:tr>
        <w:tc>
          <w:tcPr/>
          <w:p>
            <w:pPr>
              <w:jc w:val="left"/>
            </w:pPr>
            <w:r>
              <w:t xml:space="preserve">В управе начисляется резерв на выплату иначислений на отпуск сотрудникамуправы. Остаток на начало года года составляет-2532648,37 руб. Остаток на конец года-6 796 192,95руб. Также начисляется резерв на страховые взносы на отпуска. Начало года-764 859,81руб. на конец года-1017992,71 руб.</w:t>
            </w:r>
          </w:p>
        </w:tc>
      </w:tr>
      <w:tr>
        <w:tc>
          <w:tcPr/>
          <w:p>
            <w:pPr>
              <w:pStyle w:val="Compact"/>
            </w:pPr>
          </w:p>
        </w:tc>
      </w:tr>
      <w:tr>
        <w:tc>
          <w:tcPr/>
          <w:p>
            <w:pPr>
              <w:jc w:val="left"/>
            </w:pPr>
            <w:r>
              <w:rPr>
                <w:bCs/>
                <w:b/>
              </w:rPr>
              <w:t xml:space="preserve">Информация по каждому виду резерва: сумма изменений (увеличений, уменьшений) величины резерва, в структуре оснований - создания резерва</w:t>
            </w:r>
          </w:p>
        </w:tc>
      </w:tr>
      <w:tr>
        <w:tc>
          <w:tcPr/>
          <w:p>
            <w:pPr>
              <w:jc w:val="left"/>
            </w:pPr>
            <w:r>
              <w:t xml:space="preserve">в 2020 году наблюдается увеличение величины резерва на 4 516 677,48 руб.</w:t>
            </w:r>
          </w:p>
        </w:tc>
      </w:tr>
      <w:tr>
        <w:tc>
          <w:tcPr/>
          <w:p>
            <w:pPr>
              <w:pStyle w:val="Compact"/>
            </w:pPr>
          </w:p>
        </w:tc>
      </w:tr>
      <w:tr>
        <w:tc>
          <w:tcPr/>
          <w:p>
            <w:pPr>
              <w:jc w:val="left"/>
            </w:pPr>
            <w:r>
              <w:rPr>
                <w:bCs/>
                <w:b/>
              </w:rPr>
              <w:t xml:space="preserve">Информация по каждому виду резерва: сумма изменений (увеличений, уменьшений) величины резерва, в структуре оснований - приращения дисконтированной стоимости резерва за отчетный период в связи с приближением срока исполнения обязательства, под которое был сформирован резерв, а также влияния любых изменений ставки дисконтирования</w:t>
            </w:r>
          </w:p>
        </w:tc>
      </w:tr>
      <w:tr>
        <w:tc>
          <w:tcPr/>
          <w:p>
            <w:pPr>
              <w:jc w:val="left"/>
            </w:pPr>
            <w:r>
              <w:t xml:space="preserve">приращения дисконтированной стоимости резерва за отчетный период в связи с приближением срока исполнения обязательства, под которое был сформирован резерв в 2020 г.не было</w:t>
            </w:r>
          </w:p>
        </w:tc>
      </w:tr>
      <w:tr>
        <w:tc>
          <w:tcPr/>
          <w:p>
            <w:pPr>
              <w:pStyle w:val="Compact"/>
            </w:pPr>
          </w:p>
        </w:tc>
      </w:tr>
      <w:tr>
        <w:tc>
          <w:tcPr/>
          <w:p>
            <w:pPr>
              <w:jc w:val="left"/>
            </w:pPr>
            <w:r>
              <w:rPr>
                <w:bCs/>
                <w:b/>
              </w:rPr>
              <w:t xml:space="preserve">Информация по каждому виду резерва: сумма изменений (увеличений, уменьшений) величины резерва, в структуре оснований - использования резерва</w:t>
            </w:r>
          </w:p>
        </w:tc>
      </w:tr>
      <w:tr>
        <w:tc>
          <w:tcPr/>
          <w:p>
            <w:pPr>
              <w:jc w:val="left"/>
            </w:pPr>
            <w:r>
              <w:t xml:space="preserve">В 2020году для выплаты начисленного отпуска был использован резерв в сумме 3297508,18 руб.</w:t>
            </w:r>
          </w:p>
        </w:tc>
      </w:tr>
      <w:tr>
        <w:tc>
          <w:tcPr/>
          <w:p>
            <w:pPr>
              <w:pStyle w:val="Compact"/>
            </w:pPr>
          </w:p>
        </w:tc>
      </w:tr>
      <w:tr>
        <w:tc>
          <w:tcPr/>
          <w:p>
            <w:pPr>
              <w:jc w:val="left"/>
            </w:pPr>
            <w:r>
              <w:rPr>
                <w:bCs/>
                <w:b/>
              </w:rPr>
              <w:t xml:space="preserve">Информация по каждому виду резерва: сумма изменений (увеличений, уменьшений) величины резерва, в структуре оснований - восстановления неиспользованных и излишне начисленных сумм резерва</w:t>
            </w:r>
          </w:p>
        </w:tc>
      </w:tr>
      <w:tr>
        <w:tc>
          <w:tcPr/>
          <w:p>
            <w:pPr>
              <w:jc w:val="left"/>
            </w:pPr>
            <w:r>
              <w:t xml:space="preserve">восстановления неиспользованных и излишне начисленных сумм резерва в 2020 году не проводилось.</w:t>
            </w:r>
          </w:p>
        </w:tc>
      </w:tr>
      <w:tr>
        <w:tc>
          <w:tcPr/>
          <w:p>
            <w:pPr>
              <w:pStyle w:val="Compact"/>
            </w:pPr>
          </w:p>
        </w:tc>
      </w:tr>
      <w:tr>
        <w:tc>
          <w:tcPr/>
          <w:p>
            <w:pPr>
              <w:jc w:val="left"/>
            </w:pPr>
            <w:r>
              <w:rPr>
                <w:bCs/>
                <w:b/>
              </w:rPr>
              <w:t xml:space="preserve">Информация по каждому виду резерва: краткое описание оснований создания резерва и ожидаемые сроки его использования</w:t>
            </w:r>
          </w:p>
        </w:tc>
      </w:tr>
      <w:tr>
        <w:tc>
          <w:tcPr/>
          <w:p>
            <w:pPr>
              <w:jc w:val="left"/>
            </w:pPr>
            <w:r>
              <w:t xml:space="preserve">В бухгалтерском учете резерв на оплату отпусков формируют, чтобы учесть обязательства организации перед работниками (п. 5, 8 ПБУ 8/2010). Оплачиваемые отпуска положены сотрудникам в рамках трудовых отношений.</w:t>
            </w:r>
          </w:p>
        </w:tc>
      </w:tr>
      <w:tr>
        <w:tc>
          <w:tcPr/>
          <w:p>
            <w:pPr>
              <w:pStyle w:val="Compact"/>
            </w:pPr>
          </w:p>
        </w:tc>
      </w:tr>
      <w:tr>
        <w:tc>
          <w:tcPr/>
          <w:p>
            <w:pPr>
              <w:jc w:val="left"/>
            </w:pPr>
            <w:r>
              <w:rPr>
                <w:bCs/>
                <w:b/>
              </w:rPr>
              <w:t xml:space="preserve">Информация по каждому виду резерва: указание на признаки неопределенности в части момента предъявления требования об исполнении обязательства и (или) его размера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каждому виду резерва: сумма ожидаемых возмещений по встречным требованиям или требованиям к другим лицам при исполнении соответствующего обязательства, признанных самостоятельным активом (с указанием наименования актива)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стоимости поступивших объектов непроизведенных активов с отдельным раскрытием сумм поступлений в результате приобретения объектов непроизведенных активов, получения объектов от собственника (учредителя), иной организации государственного сектора, вследствие увеличений балансовой стоимости объектов непроизведенных активов</w:t>
            </w:r>
          </w:p>
        </w:tc>
      </w:tr>
      <w:tr>
        <w:tc>
          <w:tcPr/>
          <w:p>
            <w:pPr>
              <w:pStyle w:val="Compact"/>
            </w:pPr>
          </w:p>
        </w:tc>
      </w:tr>
      <w:tr>
        <w:tc>
          <w:tcPr/>
          <w:p>
            <w:pPr>
              <w:pStyle w:val="Compact"/>
            </w:pPr>
          </w:p>
        </w:tc>
      </w:tr>
      <w:tr>
        <w:tc>
          <w:tcPr/>
          <w:p>
            <w:pPr>
              <w:jc w:val="left"/>
            </w:pPr>
            <w:r>
              <w:rPr>
                <w:bCs/>
                <w:b/>
              </w:rPr>
              <w:t xml:space="preserve">Информация о стоимости выбывших объектов непроизведенных активов с отдельным раскрытием сумм выбытий в результате передачи объектов имущества, учитываемых в составе непроизведенных активов, собственнику (учредителю), иной организации государственного сектора, вследствие перевода такого объекта в иную категорию объектов бухгалтерского учета, предназначенную для отчуждения не в пользу организаций государственного сектора, в связи с его реклассификацией</w:t>
            </w:r>
          </w:p>
        </w:tc>
      </w:tr>
      <w:tr>
        <w:tc>
          <w:tcPr/>
          <w:p>
            <w:pPr>
              <w:pStyle w:val="Compact"/>
            </w:pPr>
          </w:p>
        </w:tc>
      </w:tr>
      <w:tr>
        <w:tc>
          <w:tcPr/>
          <w:p>
            <w:pPr>
              <w:pStyle w:val="Compact"/>
            </w:pPr>
          </w:p>
        </w:tc>
      </w:tr>
      <w:tr>
        <w:tc>
          <w:tcPr/>
          <w:p>
            <w:pPr>
              <w:jc w:val="left"/>
            </w:pPr>
            <w:r>
              <w:rPr>
                <w:bCs/>
                <w:b/>
              </w:rPr>
              <w:t xml:space="preserve">Информация раскрываемая по каждой группе непроизведенных активов, о наличии и размере ограничений прав собственности или иных предоставленных прав, включая стоимость объектов имущества, которые субъект учета не вправе использовать в качестве обеспечения исполнения обязательств, а также перечень непроизведенных активов, переданных в качестве обеспечения исполнения обязательств субъекта учета, и их остаточную стоимость на начало и конец отчетного периода</w:t>
            </w:r>
          </w:p>
        </w:tc>
      </w:tr>
      <w:tr>
        <w:tc>
          <w:tcPr/>
          <w:p>
            <w:pPr>
              <w:pStyle w:val="Compact"/>
            </w:pPr>
          </w:p>
        </w:tc>
      </w:tr>
      <w:tr>
        <w:tc>
          <w:tcPr/>
          <w:p>
            <w:pPr>
              <w:pStyle w:val="Compact"/>
            </w:pPr>
          </w:p>
        </w:tc>
      </w:tr>
      <w:tr>
        <w:tc>
          <w:tcPr/>
          <w:p>
            <w:pPr>
              <w:jc w:val="left"/>
            </w:pPr>
            <w:r>
              <w:rPr>
                <w:bCs/>
                <w:b/>
              </w:rPr>
              <w:t xml:space="preserve">Информация раскрываемая по каждой группе непроизведенных активов, о сумме договорных обязательств по приобретению непроизведенных активов на конец отчетного периода</w:t>
            </w:r>
          </w:p>
        </w:tc>
      </w:tr>
      <w:tr>
        <w:tc>
          <w:tcPr/>
          <w:p>
            <w:pPr>
              <w:pStyle w:val="Compact"/>
            </w:pPr>
          </w:p>
        </w:tc>
      </w:tr>
      <w:tr>
        <w:tc>
          <w:tcPr/>
          <w:p>
            <w:pPr>
              <w:pStyle w:val="Compact"/>
            </w:pPr>
          </w:p>
        </w:tc>
      </w:tr>
      <w:tr>
        <w:tc>
          <w:tcPr/>
          <w:p>
            <w:pPr>
              <w:jc w:val="left"/>
            </w:pPr>
            <w:r>
              <w:rPr>
                <w:bCs/>
                <w:b/>
              </w:rPr>
              <w:t xml:space="preserve">Информация раскрываемая по каждой группе непроизведенных активов, о сумме компенсаций, причитающихся к получению от третьих сторон в связи с обесценением, утратой или передачей объектов непроизведенных активов, включенных в доходы текущего периода</w:t>
            </w:r>
          </w:p>
        </w:tc>
      </w:tr>
      <w:tr>
        <w:tc>
          <w:tcPr/>
          <w:p>
            <w:pPr>
              <w:pStyle w:val="Compact"/>
            </w:pPr>
          </w:p>
        </w:tc>
      </w:tr>
      <w:tr>
        <w:tc>
          <w:tcPr/>
          <w:p>
            <w:pPr>
              <w:pStyle w:val="Compact"/>
            </w:pPr>
          </w:p>
        </w:tc>
      </w:tr>
      <w:tr>
        <w:tc>
          <w:tcPr/>
          <w:p>
            <w:pPr>
              <w:jc w:val="left"/>
            </w:pPr>
            <w:r>
              <w:rPr>
                <w:bCs/>
                <w:b/>
              </w:rPr>
              <w:t xml:space="preserve">Информация об объектах непроизведенных активов, не приносящих субъекту учета экономические выгоды, не имеющих полезного потенциала, в отношении которых в дальнейшем не предусматривается получение экономических выгод и учитывающихся на забалансовых счетах Рабочего плана счетов субъекта учета, утвержденного субъектом учета в рамках его учетной политики (далее - забалансовый учет)</w:t>
            </w:r>
          </w:p>
        </w:tc>
      </w:tr>
      <w:tr>
        <w:tc>
          <w:tcPr/>
          <w:p>
            <w:pPr>
              <w:pStyle w:val="Compact"/>
            </w:pPr>
          </w:p>
        </w:tc>
      </w:tr>
      <w:tr>
        <w:tc>
          <w:tcPr/>
          <w:p>
            <w:pPr>
              <w:pStyle w:val="Compact"/>
            </w:pPr>
          </w:p>
        </w:tc>
      </w:tr>
      <w:tr>
        <w:tc>
          <w:tcPr/>
          <w:p>
            <w:pPr>
              <w:jc w:val="left"/>
            </w:pPr>
            <w:r>
              <w:rPr>
                <w:bCs/>
                <w:b/>
              </w:rPr>
              <w:t xml:space="preserve">Информация о земельных участках, не внесенных в государственный кадастр недвижимости, на которые государственная собственность разграничена, не закрепленных на праве постоянного (бессрочного) пользования за учреждением, не используемых для извлечения экономических выгод или полезного потенциала, справедливая стоимость которых не определяется и для которых ведется забалансовый учет в условной оценке: один объект - один рубль</w:t>
            </w:r>
          </w:p>
        </w:tc>
      </w:tr>
      <w:tr>
        <w:tc>
          <w:tcPr/>
          <w:p>
            <w:pPr>
              <w:pStyle w:val="Compact"/>
            </w:pPr>
          </w:p>
        </w:tc>
      </w:tr>
      <w:tr>
        <w:tc>
          <w:tcPr/>
          <w:p>
            <w:pPr>
              <w:pStyle w:val="Compact"/>
            </w:pPr>
          </w:p>
        </w:tc>
      </w:tr>
      <w:tr>
        <w:tc>
          <w:tcPr/>
          <w:p>
            <w:pPr>
              <w:jc w:val="left"/>
            </w:pPr>
            <w:r>
              <w:rPr>
                <w:bCs/>
                <w:b/>
              </w:rPr>
              <w:t xml:space="preserve">Информация о наличии в Сведениях о вложениях в объекты недвижимого имущества, объектах незавершенного строительства (ф. 0503190) объекта капитального вложения, указанного в Сведениях о вложениях в объекты недвижимого имущества, об объектах незавершенного строительства бюджетного (автономного) учреждения (ф. 0503790) в случае, когда бюджетное (автономное) учреждение, в соответствии с переданными ему полномочиями, реализует бюджетные инвестиции в объект строительства за счет средств бюджета при условии софинансирования таких инвестиций (капитальных вложений)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безвозмездной передаче объектов нефинансовых активов, отраженная по кодам счетов бюджетного учета 040120242, 040120244, 040120282, 040120284: наименование ГУПа, КП; правовое основание передачи имущества; стоимость передаваемых НФА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безвозмездной передаче объектов нефинансовых активов, отраженная по кодам счетов бюджетного учета 040120243, 040120245, 040120246, 040120283, 040120285, 040120286: наименование юридического или физического лица; правовое основание передачи имущества; стоимость передаваемых НФА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просроченной дебиторской (кредиторской) задолженности, на конец отчетного периода отраженной в ф.0503169 с кодом причин: 05 - иные причины возникновения просроченной кредиторской задолженности; 89 - иные причины возникновения просроченной дебиторской задолженности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38 «Сметная стоимость создания (реконструкции) объекта концессии»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39 «Доходы от инвестиций на создание и (или) реконструкцию объекта концессии»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Расшифровка показателей по забалансовому счету 45 «Доходы и расходы по долгосрочным договорам строительного подряда»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счету бюджетного учета 140110176</w:t>
            </w:r>
          </w:p>
        </w:tc>
      </w:tr>
      <w:tr>
        <w:tc>
          <w:tcPr/>
          <w:p>
            <w:pPr>
              <w:jc w:val="left"/>
            </w:pPr>
            <w:r>
              <w:t xml:space="preserve">Информация представлена в приложении к Пояснительной записке «Расшифровка показателей по счету 1 401 10 176 «Доходы от оценки активов и обязательств», отраженных в Отчете о финансовых результатах деятельности (ф. 0503121) (справочно)»</w:t>
            </w:r>
          </w:p>
        </w:tc>
      </w:tr>
      <w:tr>
        <w:tc>
          <w:tcPr/>
          <w:p>
            <w:pPr>
              <w:pStyle w:val="Compact"/>
            </w:pPr>
          </w:p>
        </w:tc>
      </w:tr>
      <w:tr>
        <w:tc>
          <w:tcPr/>
          <w:p>
            <w:pPr>
              <w:jc w:val="left"/>
            </w:pPr>
            <w:r>
              <w:rPr>
                <w:bCs/>
                <w:b/>
              </w:rPr>
              <w:t xml:space="preserve">Прочая информация</w:t>
            </w:r>
          </w:p>
        </w:tc>
      </w:tr>
      <w:tr>
        <w:tc>
          <w:tcPr/>
          <w:p>
            <w:pPr>
              <w:jc w:val="left"/>
            </w:pPr>
            <w:r>
              <w:t xml:space="preserve">Информация отсутствует.</w:t>
            </w:r>
          </w:p>
        </w:tc>
      </w:tr>
      <w:tr>
        <w:tc>
          <w:tcPr/>
          <w:p>
            <w:pPr>
              <w:pStyle w:val="Compact"/>
            </w:pPr>
          </w:p>
        </w:tc>
      </w:tr>
      <w:tr>
        <w:tc>
          <w:tcPr/>
          <w:p>
            <w:pPr>
              <w:pStyle w:val="Compact"/>
            </w:pPr>
          </w:p>
        </w:tc>
      </w:tr>
    </w:tbl>
    <w:p>
      <w:pPr>
        <w:pStyle w:val="BodyText"/>
      </w:pPr>
      <w:r>
        <w:rPr>
          <w:bCs/>
          <w:b/>
        </w:rPr>
        <w:t xml:space="preserve">Раздел 5 «Прочие вопросы деятельности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Перечень правовых актов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бюджетов, регулирующих ведение бюджетного (бухгалтерского) учета и составление отчетности</w:t>
            </w:r>
          </w:p>
        </w:tc>
      </w:tr>
      <w:tr>
        <w:tc>
          <w:tcPr/>
          <w:p>
            <w:pPr>
              <w:jc w:val="left"/>
            </w:pPr>
            <w:r>
              <w:t xml:space="preserve">Федеральный закон от 06.12.2011 N 402-ФЗ "О бухгалтерском учете"; Приказ Минфина РФ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 Минфина РФ от 16.12.2010 N 174н "Об утверждении Плана счетов бухгалтерского учета бюджетных учреждений и Инструкции по его применению"; Приказ Минфина России от 31.12.2016 N 257н "Об утверждении федерального стандарта бухгалтерского учета для организаций государственного сектора "Основные средства"; Приказ Минфина России от 31.12.2016 N 258н "Об утверждении федерального стандарта бухгалтерского учета для организаций государственного сектора "Аренда"; Приказ Минфина России от 31.12.2016 N 259н "Об утверждении федерального стандарта бухгалтерского учета для организаций государственного сектора "Обесценение активов"; Приказ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Приказ Минфина РФ от 25.03.2011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Приказ Минфина России от 01.07.2013 N 65н "Об утверждении Указаний о порядке применения бюджетной классификации Российской Федерации".</w:t>
            </w:r>
          </w:p>
        </w:tc>
      </w:tr>
      <w:tr>
        <w:tc>
          <w:tcPr/>
          <w:p>
            <w:pPr>
              <w:pStyle w:val="Compact"/>
            </w:pPr>
          </w:p>
        </w:tc>
      </w:tr>
      <w:tr>
        <w:tc>
          <w:tcPr/>
          <w:p>
            <w:pPr>
              <w:jc w:val="left"/>
            </w:pPr>
            <w:r>
              <w:rPr>
                <w:bCs/>
                <w:b/>
              </w:rPr>
              <w:t xml:space="preserve">Перечень правовых актов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бюджетов, регулирующих ведение бюджетного (бухгалтерского) учета и составление отчетности в системе подведомственных ему получателей бюджетных средств, администраторов источников финансирования дефицита бюджета, администраторов доходов бюджета, соответственно</w:t>
            </w:r>
          </w:p>
        </w:tc>
      </w:tr>
      <w:tr>
        <w:tc>
          <w:tcPr/>
          <w:p>
            <w:pPr>
              <w:jc w:val="left"/>
            </w:pPr>
            <w:r>
              <w:t xml:space="preserve">Бухгалтерам госучреждений (в том числе казенных) при составлении отчетности необходимо соблюдать две основополагающие инструкции:о порядке составления и предоставления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28.12.2010 № 191н и поправками к ней;</w:t>
            </w:r>
          </w:p>
        </w:tc>
      </w:tr>
      <w:tr>
        <w:tc>
          <w:tcPr/>
          <w:p>
            <w:pPr>
              <w:pStyle w:val="Compact"/>
            </w:pPr>
          </w:p>
        </w:tc>
      </w:tr>
      <w:tr>
        <w:tc>
          <w:tcPr/>
          <w:p>
            <w:pPr>
              <w:jc w:val="left"/>
            </w:pPr>
            <w:r>
              <w:rPr>
                <w:bCs/>
                <w:b/>
              </w:rPr>
              <w:t xml:space="preserve">Способы оценки активов, обязательств, доходов и расходов, применяемые субъектом отчетности при формировании бухгалтерской (финансовой) отчетности в случаях, когда нормативные правовые акты, регулирующие ведение бухгалтерского учета и составление бухгалтерской (финансовой) отчетности, допускают выбор субъектом отчетности одного из нескольких допустимых способов оценки активов, обязательств, доходов и расходов</w:t>
            </w:r>
          </w:p>
        </w:tc>
      </w:tr>
      <w:tr>
        <w:tc>
          <w:tcPr/>
          <w:p>
            <w:pPr>
              <w:jc w:val="left"/>
            </w:pPr>
            <w:r>
              <w:t xml:space="preserve">Оценка основных средств и материальных запасов, приобретенных за плату, осуществляется по фактической стоимости приобретения с учетом расходов, связанных с их приобретением. Первоначальная стоимость объектов основных средств определяется по справедливой стоимости, установленной методом рыночных цен на дату принятия к учету, в отношении следующих объектов: безвозмездно полученных от физических или юридических лиц по договорам пожертвования (за исключением объектов, полученных от организаций государственного сектора при условии, что в передаточных документах указана стоимость таких объектов); при выявлении объектов, созданных в рамках проведения ремонтных работ, соответствующих критериям признания объектов основных средств; выявленных по результатам инвентаризации. При одновременном приобретении нескольких видов основных средств и материальных запасов расходы распределяются пропорционально договорной цене приобретаемых нефинансовых активов. Выбытие материальных запасов признается по средней фактической стоимости запасов.</w:t>
            </w:r>
          </w:p>
        </w:tc>
      </w:tr>
      <w:tr>
        <w:tc>
          <w:tcPr/>
          <w:p>
            <w:pPr>
              <w:pStyle w:val="Compact"/>
            </w:pPr>
          </w:p>
        </w:tc>
      </w:tr>
      <w:tr>
        <w:tc>
          <w:tcPr/>
          <w:p>
            <w:pPr>
              <w:jc w:val="left"/>
            </w:pPr>
            <w:r>
              <w:rPr>
                <w:bCs/>
                <w:b/>
              </w:rPr>
              <w:t xml:space="preserve">Информация о профессиональных суждениях, выработанных в процессе применения учетной политики и оказывающих существенное влияние на показатели бухгалтерской (финансовой) отчетности (например, профессиональные суждения о том, относятся ли объекты к основным средствам или инвестиционной недвижимости, являются ли договоры соглашениями об аренде)</w:t>
            </w:r>
          </w:p>
        </w:tc>
      </w:tr>
      <w:tr>
        <w:tc>
          <w:tcPr/>
          <w:p>
            <w:pPr>
              <w:jc w:val="left"/>
            </w:pPr>
            <w:r>
              <w:t xml:space="preserve">Профессиональное суждение о том, относятся ли объекты к основным средствам или инвестиционной недвижимости. Для целей бухгалтерского учета объект независимо от стоимости относится к основным средствам, если одновременно соблюдаются следующие условия: срок его полезного использования составляет более 12 месяцев (если иное не предусмотрено Федеральным стандартом N 257н и Инструкцией N 157н); предназначен для неоднократного или постоянного использования при выполнении государственных (муниципальных) полномочий либо для деятельности по выполнению работ (услуг) или для управленческих нужд (п. 7 Федерального стандарта N 257н); при его использовании планируется получить экономические выгоды или полезный потенциал и первоначальную стоимость как объекта бухгалтерского учета можно надежно оценить. Эти критерии признания объекта основных средств должны применяться к инвентарному объекту в целом (п. 8 Федерального стандарта N 257н). Объект относится к основным средствам, если находится в эксплуатации, в запасе или на консервации либо передан во временное владение и пользование или во временное пользование по договору аренды (имущественного найма) либо по договору безвозмездного пользования (п. 7 Федерального стандарта N 257н). Библиотечный фонд (за исключением периодических изданий) относится к основным средствам независимо от срока полезного использования (п. 8 Федерального стандарта N 257н). Объект признается инвестиционной недвижимостью, если одновременно соблюдаются следующие условия (п. 7 Федерального стандарта N 257н): объект находится во владении или пользовании учреждения; объект приносит доход в виде платы за пользование имуществом (арендной платы) или увеличивает стоимость недвижимого имущества; объект не предназначен для выполнения возложенных на учреждение полномочий (функций), осуществления деятельности по выполнению работ, оказанию услуг либо для управленческих нужд или для продажи.</w:t>
            </w:r>
          </w:p>
        </w:tc>
      </w:tr>
      <w:tr>
        <w:tc>
          <w:tcPr/>
          <w:p>
            <w:pPr>
              <w:pStyle w:val="Compact"/>
            </w:pPr>
          </w:p>
        </w:tc>
      </w:tr>
      <w:tr>
        <w:tc>
          <w:tcPr/>
          <w:p>
            <w:pPr>
              <w:jc w:val="left"/>
            </w:pPr>
            <w:r>
              <w:rPr>
                <w:bCs/>
                <w:b/>
              </w:rPr>
              <w:t xml:space="preserve">Прочие положения учетной политики субъекта отчетности, необходимые для понимания пользователями бухгалтерской (финансовой) отчетности его финансового положения, финансовых результатов деятельности и движения денежных средств</w:t>
            </w:r>
          </w:p>
        </w:tc>
      </w:tr>
      <w:tr>
        <w:tc>
          <w:tcPr/>
          <w:p>
            <w:pPr>
              <w:jc w:val="left"/>
            </w:pPr>
            <w:r>
              <w:t xml:space="preserve">Ответственным за принятие решения об отражении событий после отчетной даты в учете и отчетностиучреждения является руководитель. Событие после отчетной даты признается существенным, еслибез знания о нем пользователями отчетности невозможна достоверная оценка финансового состояния,движения денежных средств или результатов деятельности учреждения. Существенное событиепосле отчетной даты подлежит отражению в учете и отчетности независимо от его положительного илиотрицательного характера для учреждения.</w:t>
            </w:r>
          </w:p>
        </w:tc>
      </w:tr>
      <w:tr>
        <w:tc>
          <w:tcPr/>
          <w:p>
            <w:pPr>
              <w:pStyle w:val="Compact"/>
            </w:pPr>
          </w:p>
        </w:tc>
      </w:tr>
      <w:tr>
        <w:tc>
          <w:tcPr/>
          <w:p>
            <w:pPr>
              <w:jc w:val="left"/>
            </w:pPr>
            <w:r>
              <w:rPr>
                <w:bCs/>
                <w:b/>
              </w:rPr>
              <w:t xml:space="preserve">Информация об основных источниках неопределенностей в отношении учетных оценок, включая ключевые допущения, касающиеся будущих событий, и другие основные источники неопределенностей, в связи с которыми имеются риски существенных корректировок балансовой стоимости активов и обязательств в следующем отчетном году, а также наименование и балансовая стоимость таких активов и обязательств на отчетную дату. (например, к таким учетным оценкам относятся оценка возмещаемой стоимости определенных классов основных средств, оценка влияния технологического устаревания на стоимость запасов, оценка резервов в связи с будущими результатами текущих судебных разбирательств)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объекте бухгалтерского учета, который нельзя оценить, и который не признается в бухгалтерском учете, если иное не установлено иными нормативными правовыми актами, регулирующими ведение бухгалтерского учета и составление бухгалтерской (финансовой) отчетности</w:t>
            </w:r>
          </w:p>
        </w:tc>
      </w:tr>
      <w:tr>
        <w:tc>
          <w:tcPr/>
          <w:p>
            <w:pPr>
              <w:jc w:val="left"/>
            </w:pPr>
            <w:r>
              <w:t xml:space="preserve">В 2020 году отсутствовали объекты, стоимость которых нельзя было оценить и которые не признавались вбухгалтерском учете.</w:t>
            </w:r>
          </w:p>
        </w:tc>
      </w:tr>
      <w:tr>
        <w:tc>
          <w:tcPr/>
          <w:p>
            <w:pPr>
              <w:pStyle w:val="Compact"/>
            </w:pPr>
          </w:p>
        </w:tc>
      </w:tr>
      <w:tr>
        <w:tc>
          <w:tcPr/>
          <w:p>
            <w:pPr>
              <w:jc w:val="left"/>
            </w:pPr>
            <w:r>
              <w:rPr>
                <w:bCs/>
                <w:b/>
              </w:rPr>
              <w:t xml:space="preserve">Иная информация, не отраженная в таблице № 4 «Сведения об основных положениях учетной политики»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результатах мероприятий внутреннего государственного (муниципального) финансового контроля</w:t>
            </w:r>
          </w:p>
        </w:tc>
      </w:tr>
      <w:tr>
        <w:tc>
          <w:tcPr/>
          <w:p>
            <w:pPr>
              <w:jc w:val="left"/>
            </w:pPr>
            <w:r>
              <w:t xml:space="preserve">Мероприятия внутреннего государственного (муниципального) финансового контроля контролирующими органами в отношении учреждения не проводились. Для осуществления внутреннего контроля совершаемых фактов хозяйственной жизни в Префектуре ЦАО создана комиссия по внутреннему контролю, состоящая из штатных сотрудников префектурыя. Комиссией проводились мероприятия по предварительному контролю: соответствие принимаемых обязательств объемам утвержденных плановых назначений до проведения торгов и заключения контрактов, проверка проектов договоров на предмет законности и целесообразности, проверка документов до совершения хозяйственных операций в соответствии с правилами и графиком документооборота, проверка бухгалтерской, статистической, налоговой и другой отчетности до утверждения или подписания. Мероприятия по текущему контролю: проверка расходных денежных документов ( счетов, заявлений подотчетных лиц) до их оплаты, , сверка данных аналитического учета с данными синтетического учета, проверка достоверности отражения фактов хозяйственной жизни в учете и отчетности, проверка результатов инвентаризации имущества и обязательств.</w:t>
            </w:r>
          </w:p>
        </w:tc>
      </w:tr>
      <w:tr>
        <w:tc>
          <w:tcPr/>
          <w:p>
            <w:pPr>
              <w:pStyle w:val="Compact"/>
            </w:pPr>
          </w:p>
        </w:tc>
      </w:tr>
      <w:tr>
        <w:tc>
          <w:tcPr/>
          <w:p>
            <w:pPr>
              <w:jc w:val="left"/>
            </w:pPr>
            <w:r>
              <w:rPr>
                <w:bCs/>
                <w:b/>
              </w:rPr>
              <w:t xml:space="preserve">Информация о проведении годовой инвентаризации (Номер приказа, дата, причины проведения инвентаризации)</w:t>
            </w:r>
          </w:p>
        </w:tc>
      </w:tr>
      <w:tr>
        <w:tc>
          <w:tcPr/>
          <w:p>
            <w:pPr>
              <w:jc w:val="left"/>
            </w:pPr>
            <w:r>
              <w:t xml:space="preserve">Годовая инвентаризация проведена на основании приказа управы от 08.12.2020 № 031/1-кр , Причина проведения инвентаризации - перед составлением годовой бухгалтерской отчетности. Инвентаризация проведена в полном объеме в установленные сроки. излишков и недостач не обнаружено.</w:t>
            </w:r>
          </w:p>
        </w:tc>
      </w:tr>
      <w:tr>
        <w:tc>
          <w:tcPr/>
          <w:p>
            <w:pPr>
              <w:pStyle w:val="Compact"/>
            </w:pPr>
          </w:p>
        </w:tc>
      </w:tr>
      <w:tr>
        <w:tc>
          <w:tcPr/>
          <w:p>
            <w:pPr>
              <w:jc w:val="left"/>
            </w:pPr>
            <w:r>
              <w:rPr>
                <w:bCs/>
                <w:b/>
              </w:rPr>
              <w:t xml:space="preserve">Сведения о результатах внешнего государственного (муниципального) финансового контроля</w:t>
            </w:r>
          </w:p>
        </w:tc>
      </w:tr>
      <w:tr>
        <w:tc>
          <w:tcPr/>
          <w:p>
            <w:pPr>
              <w:jc w:val="left"/>
            </w:pPr>
            <w:r>
              <w:t xml:space="preserve">Внешний государственный (муниципальный) финансовый контроль не проводился.</w:t>
            </w:r>
          </w:p>
        </w:tc>
      </w:tr>
      <w:tr>
        <w:tc>
          <w:tcPr/>
          <w:p>
            <w:pPr>
              <w:pStyle w:val="Compact"/>
            </w:pPr>
          </w:p>
        </w:tc>
      </w:tr>
      <w:tr>
        <w:tc>
          <w:tcPr/>
          <w:p>
            <w:pPr>
              <w:jc w:val="left"/>
            </w:pPr>
            <w:r>
              <w:rPr>
                <w:bCs/>
                <w:b/>
              </w:rPr>
              <w:t xml:space="preserve">Информация об исполнении судебных решений, отраженная в ф.0503296 «Сведения об исполнении судебных решений по денежным обязательствам бюджета» (причины возникновения обязательств по судебным решениям, характер задолженности, причины неисполнения обязательств, причины увеличения задолженности, а также меры по ее устранению). Правовое основание возникновения задолженности в части неисполненных судебных решений по КОСГУ 296, КОСГУ 297</w:t>
            </w:r>
          </w:p>
        </w:tc>
      </w:tr>
      <w:tr>
        <w:tc>
          <w:tcPr/>
          <w:p>
            <w:pPr>
              <w:jc w:val="left"/>
            </w:pPr>
            <w:r>
              <w:t xml:space="preserve">Вся информация отражена в ф. 0503296</w:t>
            </w:r>
          </w:p>
        </w:tc>
      </w:tr>
      <w:tr>
        <w:tc>
          <w:tcPr/>
          <w:p>
            <w:pPr>
              <w:pStyle w:val="Compact"/>
            </w:pPr>
          </w:p>
        </w:tc>
      </w:tr>
      <w:tr>
        <w:tc>
          <w:tcPr/>
          <w:p>
            <w:pPr>
              <w:jc w:val="left"/>
            </w:pPr>
            <w:r>
              <w:rPr>
                <w:bCs/>
                <w:b/>
              </w:rPr>
              <w:t xml:space="preserve">Информация о просроченной кредиторской задолженности отраженная в ф.0503387 «Справочная таблица к отчету об исполнении консолидированного бюджета субъекта Российской Федерации»</w:t>
            </w:r>
          </w:p>
        </w:tc>
      </w:tr>
      <w:tr>
        <w:tc>
          <w:tcPr/>
          <w:p>
            <w:pPr>
              <w:jc w:val="left"/>
            </w:pPr>
            <w:r>
              <w:t xml:space="preserve">Информация представлена в приложении к Пояснительной записке «Анализ просроченной кредиторской задолженности в соответствии с данными бюджетного учета (в части расчетов по принятым обязательствам)»</w:t>
            </w:r>
          </w:p>
        </w:tc>
      </w:tr>
      <w:tr>
        <w:tc>
          <w:tcPr/>
          <w:p>
            <w:pPr>
              <w:pStyle w:val="Compact"/>
            </w:pPr>
          </w:p>
        </w:tc>
      </w:tr>
      <w:tr>
        <w:tc>
          <w:tcPr/>
          <w:p>
            <w:pPr>
              <w:jc w:val="left"/>
            </w:pPr>
            <w:r>
              <w:rPr>
                <w:bCs/>
                <w:b/>
              </w:rPr>
              <w:t xml:space="preserve">Иная информация отраженная в ф.0503387 «Справочная таблица к отчету об исполнении консолидированного бюджета субъекта Российской Федерации» и требующая пояснения</w:t>
            </w:r>
          </w:p>
        </w:tc>
      </w:tr>
      <w:tr>
        <w:tc>
          <w:tcPr/>
          <w:p>
            <w:pPr>
              <w:jc w:val="left"/>
            </w:pPr>
            <w:r>
              <w:t xml:space="preserve">Фонд оплаты труда государственных(муниципальных) органов -43202200,00руб.; иные выплаты персоналу государственных(муниципальных) органов-546800,00руб.; взносы по обязательному социальному страхованию на выплаты денежного содержания работников государственных(муниципальных) органов -4558256.82,00руб.</w:t>
            </w:r>
          </w:p>
        </w:tc>
      </w:tr>
      <w:tr>
        <w:tc>
          <w:tcPr/>
          <w:p>
            <w:pPr>
              <w:pStyle w:val="Compact"/>
            </w:pPr>
          </w:p>
        </w:tc>
      </w:tr>
      <w:tr>
        <w:tc>
          <w:tcPr/>
          <w:p>
            <w:pPr>
              <w:jc w:val="left"/>
            </w:pPr>
            <w:r>
              <w:rPr>
                <w:bCs/>
                <w:b/>
              </w:rPr>
              <w:t xml:space="preserve">Корреспонденция счетов бюджетного учета, утвержденная субъектами учета (ГАБС, подведомственными ПБС) дополнительно к перечню, установленному Инструкцией №162н</w:t>
            </w:r>
          </w:p>
        </w:tc>
      </w:tr>
      <w:tr>
        <w:tc>
          <w:tcPr/>
          <w:p>
            <w:pPr>
              <w:jc w:val="left"/>
            </w:pPr>
            <w:r>
              <w:t xml:space="preserve">Информация отсутствует.</w:t>
            </w:r>
          </w:p>
        </w:tc>
      </w:tr>
      <w:tr>
        <w:tc>
          <w:tcPr/>
          <w:p>
            <w:pPr>
              <w:pStyle w:val="Compact"/>
            </w:pPr>
          </w:p>
        </w:tc>
      </w:tr>
      <w:tr>
        <w:tc>
          <w:tcPr/>
          <w:p>
            <w:pPr>
              <w:jc w:val="left"/>
            </w:pPr>
            <w:r>
              <w:rPr>
                <w:bCs/>
                <w:b/>
              </w:rPr>
              <w:t xml:space="preserve">Перечень форм отчетности, не включенных в состав бюджетной отчетности за отчетный период ввиду отсутствия числовых значений показателей (подлежит заполнению при отсутствии возможности формирования и (или) представления бюджетной отчетности средствами программных комплексов)</w:t>
            </w:r>
          </w:p>
        </w:tc>
      </w:tr>
      <w:tr>
        <w:tc>
          <w:tcPr/>
          <w:p>
            <w:pPr>
              <w:jc w:val="left"/>
            </w:pPr>
            <w:r>
              <w:t xml:space="preserve">Формы бюджетной отчетности, не имеющие числовых значений показателей и не содержащие пояснения, сформированы и представлены посредством модуля «Консолидированная бюджетная отчетность» автоматизированной информационной системы Департамента финансов города Москвы с указанием отметки «показатели отсутствуют»</w:t>
            </w:r>
          </w:p>
        </w:tc>
      </w:tr>
      <w:tr>
        <w:tc>
          <w:tcPr/>
          <w:p>
            <w:pPr>
              <w:pStyle w:val="Compact"/>
            </w:pPr>
          </w:p>
        </w:tc>
      </w:tr>
      <w:tr>
        <w:tc>
          <w:tcPr/>
          <w:p>
            <w:pPr>
              <w:jc w:val="left"/>
            </w:pPr>
            <w:r>
              <w:rPr>
                <w:bCs/>
                <w:b/>
              </w:rPr>
              <w:t xml:space="preserve">Иная информация, оказавшая существенное влияние и характеризующую показатели деятельности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Обобщение показателей по счету 010500000 "Материальные запасы" не влияет на существенность информации, раскрываемой в бухгалтерской отчетности.</w:t>
            </w:r>
          </w:p>
        </w:tc>
      </w:tr>
      <w:tr>
        <w:tc>
          <w:tcPr/>
          <w:p>
            <w:pPr>
              <w:pStyle w:val="Compact"/>
            </w:pPr>
          </w:p>
        </w:tc>
      </w:tr>
      <w:tr>
        <w:tc>
          <w:tcPr/>
          <w:p>
            <w:pPr>
              <w:jc w:val="left"/>
            </w:pPr>
            <w:r>
              <w:rPr>
                <w:bCs/>
                <w:b/>
              </w:rPr>
              <w:t xml:space="preserve">Иная информация по заключению счетов бюджетного учета отчетного финансового года, отраженная в форме 0503110</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отраженных в Отчете ф.0503121 по кодам КОСГУ 231 - «Обслуживание внутреннего долга», 710 - «Увеличение задолженности по внутренним привлеченным заимствованиям», 810 - «Уменьшение задолженности по внутренним привлеченным заимствованиям»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отраженных в Отчете ф.0503121 по кодам КОСГУ 232 - Обслуживание внешнего долга», 720 - «Увеличение задолженности по внешним привлеченным заимствованиям», 820 - «Уменьшение задолженности по внешним привлеченным заимствованиям»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отраженных в Отчете ф.0503121 по кодам КОСГУ 253 – «перечисления международным организациям»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отраженных в Отчете ф.0503121 по статьям КОСГУ 540 - «Увеличение задолженности по предоставленным заимствованиям», 640 - «Уменьшение задолженности по предоставленным заимствованиям»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наличия допустимых отклонений показателей отчета ф.0503324 данным, отраженным в Отчете ф. 0531888, формируемом Управлением Федерального казначейства по г. Москве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полученных межбюджетных трансфертах находящихся на отчетную дату на счете территориального органа Федерального казначейства, открытом на балансовом счете 40101 «Доходы, распределяемые органами Федерального казначейства между уровнями бюджетной системы Российской Федерации» (на основании ф. 0503184)</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 межбюджетных трансфертах за отчетный период, не нашедшая отражения в формах отчетов, таблицах и приложениях</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влиянии факта несоблюдения допущения непрерывности деятельности субъекта отчетности на показатели бухгалтерской (финансовой) отчетности (с описанием причины, по которой субъект отчетности не считается непрерывно действующим)</w:t>
            </w:r>
          </w:p>
        </w:tc>
      </w:tr>
      <w:tr>
        <w:tc>
          <w:tcPr/>
          <w:p>
            <w:pPr>
              <w:jc w:val="left"/>
            </w:pPr>
            <w:r>
              <w:t xml:space="preserve">внесены изменения в классификацию публично раскрываемых показателей бухгалтерской (финансовой) отчетности учреждения (реклассификация показателей отчетности) в связи с применением новых положений нормативных правовых актов, регулирующих ведение бухгалтерского учета и составление бухгалтерской (финансовой) отчетности. В том числе связанными с переходом на применение федеральных стандартов бухгалтерского учета для государственного сектора.</w:t>
            </w:r>
          </w:p>
        </w:tc>
      </w:tr>
      <w:tr>
        <w:tc>
          <w:tcPr/>
          <w:p>
            <w:pPr>
              <w:pStyle w:val="Compact"/>
            </w:pPr>
          </w:p>
        </w:tc>
      </w:tr>
      <w:tr>
        <w:tc>
          <w:tcPr/>
          <w:p>
            <w:pPr>
              <w:jc w:val="left"/>
            </w:pPr>
            <w:r>
              <w:rPr>
                <w:bCs/>
                <w:b/>
              </w:rPr>
              <w:t xml:space="preserve">Информация о причинах изменения классификации публично раскрываемых показателей бухгалтерской (финансовой) отчетности от периода к периоду ( в результате значительных изменений характера деятельности субъекта отчетности; когда результаты анализа раскрываемых показателей его бухгалтерской (финансовой) отчетности указывают, что другое представление или классификация показателей необходимо исходя из положений применяемой в отчетном периоде учетной политики субъекта отчетности; когда нормативные правовые акты, регулирующие ведение бухгалтерского учета и составление бухгалтерской (финансовой) отчетности предусматривают изменение классификации публично раскрываемых показателей бухгалтерской (финансовой) отчетности и (или) порядка их раскрытия в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внесении изменений в классификацию публично раскрываемых показателей бухгалтерской (финансовой) отчетности и о пересмотре классификации сравнительной информации, раскрываемой в бухгалтерской (финансовой) отчетности за предыдущие отчетные периоды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показателях, обобщение которых не влияет на существенность информации, раскрываемой в бухгалтерской (финансовой) отчетности, но которые необходимы для достоверного представления информации о результатах деятельности субъекта отчетности (раскрываются обособленно)</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Сопоставимая информация по всем публично раскрываемым показателям бухгалтерской (финансовой) отчетности хотя бы за один аналогичный предыдущий период, за исключением случаев, когда иное предусмотрено нормативными правовыми актами, регулирующими ведение бухгалтерского учета и составление бухгалтерской (финансовой) отчетности. При наличии описательных (словесных) пояснений к отдельным показателям бухгалтерской (финансовой) отчетности сопоставимая описательная информация за предыдущий период раскрывается, если она является необходимой для понимания пользователями бухгалтерской (финансовой) отчетности таких показателей</w:t>
            </w:r>
          </w:p>
        </w:tc>
      </w:tr>
      <w:tr>
        <w:tc>
          <w:tcPr/>
          <w:p>
            <w:pPr>
              <w:jc w:val="left"/>
            </w:pPr>
            <w:r>
              <w:t xml:space="preserve">Сопоставимая информация за аналогичный период приведена в формах 0503130,0503168,0503169</w:t>
            </w:r>
          </w:p>
        </w:tc>
      </w:tr>
      <w:tr>
        <w:tc>
          <w:tcPr/>
          <w:p>
            <w:pPr>
              <w:pStyle w:val="Compact"/>
            </w:pPr>
          </w:p>
        </w:tc>
      </w:tr>
      <w:tr>
        <w:tc>
          <w:tcPr/>
          <w:p>
            <w:pPr>
              <w:jc w:val="left"/>
            </w:pPr>
            <w:r>
              <w:rPr>
                <w:bCs/>
                <w:b/>
              </w:rPr>
              <w:t xml:space="preserve">Детализированная существенная информация об активах и обязательствах, необходимая для понимания пользователями бухгалтерской (финансовой) отчетности финансового положения субъекта отчетности</w:t>
            </w:r>
          </w:p>
        </w:tc>
      </w:tr>
      <w:tr>
        <w:tc>
          <w:tcPr/>
          <w:p>
            <w:pPr>
              <w:jc w:val="left"/>
            </w:pPr>
            <w:r>
              <w:t xml:space="preserve">Детализированная информация об активах и обязательствах содержится в формах 0503121, 0503168,0503169.</w:t>
            </w:r>
          </w:p>
        </w:tc>
      </w:tr>
      <w:tr>
        <w:tc>
          <w:tcPr/>
          <w:p>
            <w:pPr>
              <w:pStyle w:val="Compact"/>
            </w:pPr>
          </w:p>
        </w:tc>
      </w:tr>
      <w:tr>
        <w:tc>
          <w:tcPr/>
          <w:p>
            <w:pPr>
              <w:jc w:val="left"/>
            </w:pPr>
            <w:r>
              <w:rPr>
                <w:bCs/>
                <w:b/>
              </w:rPr>
              <w:t xml:space="preserve">Информация о чистых активах. В случаях, если чистые активы не превышают нижнюю границу допустимых лимитов, установленных действующим законодательством Российской Федерации, дополнительно раскрываются причины отклонения от требований, а также план мероприятий по нормализации показателей.</w:t>
            </w:r>
          </w:p>
        </w:tc>
      </w:tr>
      <w:tr>
        <w:tc>
          <w:tcPr/>
          <w:p>
            <w:pPr>
              <w:jc w:val="left"/>
            </w:pPr>
            <w:r>
              <w:t xml:space="preserve">Так как Минфин России на 01.01.2019 не утвердил методику расчета чистых активов (ЧА) в госсекторе, а также для учреждений госсектора нет информации о нижней границы допустимых лимитов, учреждение расчет ЧА не производило.Понятие чистых активов введено ФСБУ "Концептуальные основы бухгалтерского учета и отчетности организаций государственного сектора", утвержденным Приказом Минфина России от 31.12.2016 N 256н. Их величина рассчитывается как разница между активами и обязательствами учреждения на определенную дату, за исключением имущества, которым учреждение не отвечает по своим обязательствам..Расчет величины своих чистых активов произведен, ориентируясь на порядок определения стоимости чистых активов для коммерческих организаций (утвержден приказом Минфина от 28.08.2014 № 84н). Стоимость чистых активов определяется по данным бухгалтерского учета (п. 7 Порядка 84н). Показатели активов раскрываются в нетто-оценке, то есть за вычетом любой накопленной амортизации амортизируемых активов, убытков от обесценения, резервов под снижение стоимости материальных запасов и по сомнительным долгам. В связи с включением в расчет иного движимого имущества по остаточной стоимости кроме формы 0503130 использованы показатели формы 0503168. Абсолютная величина чистых активов неинформативна. Для того чтобы оценить финансовую состоятельность учреждения, ее необходимо сравнить с порогом возможной величины чистых активов. Но на сегодняшний день для учреждений госсектора нет информации о том, как определять этот порог. Нормы установлены для коммерческого сектора. Cтоимость чистых активов акционерного общества не может быть ниже величины минимального уставного капитала, которая составляет 100 000 руб. для публичного общества и 10 000 руб. для непубличного общества.</w:t>
            </w:r>
          </w:p>
        </w:tc>
      </w:tr>
      <w:tr>
        <w:tc>
          <w:tcPr/>
          <w:p>
            <w:pPr>
              <w:pStyle w:val="Compact"/>
            </w:pPr>
          </w:p>
        </w:tc>
      </w:tr>
      <w:tr>
        <w:tc>
          <w:tcPr/>
          <w:p>
            <w:pPr>
              <w:jc w:val="left"/>
            </w:pPr>
            <w:r>
              <w:rPr>
                <w:bCs/>
                <w:b/>
              </w:rPr>
              <w:t xml:space="preserve">Детализированная информация о доходах и расходах за отчетный период и аналогичный период прошлого года, систематизированных по степени их существенности по отношению к финансовому результату отчетного периода</w:t>
            </w:r>
          </w:p>
        </w:tc>
      </w:tr>
      <w:tr>
        <w:tc>
          <w:tcPr/>
          <w:p>
            <w:pPr>
              <w:jc w:val="left"/>
            </w:pPr>
            <w:r>
              <w:t xml:space="preserve">Доходы за 2019 год составили 219367.81руб., Доходы за 2020 год составили 268628.85руб.., Расходы за 2019 год составили 65917689,28руб. Расходы за 2020 год составили 74298285.05 руб.</w:t>
            </w:r>
          </w:p>
        </w:tc>
      </w:tr>
      <w:tr>
        <w:tc>
          <w:tcPr/>
          <w:p>
            <w:pPr>
              <w:pStyle w:val="Compact"/>
            </w:pPr>
          </w:p>
        </w:tc>
      </w:tr>
      <w:tr>
        <w:tc>
          <w:tcPr/>
          <w:p>
            <w:pPr>
              <w:jc w:val="left"/>
            </w:pPr>
            <w:r>
              <w:rPr>
                <w:bCs/>
                <w:b/>
              </w:rPr>
              <w:t xml:space="preserve">Иная финансовая и нефинансовая существенная информация, необходимая для понимания пользователями бухгалтерской (финансовой) отчетности финансового положения, финансовых результатов деятельности и движения денежных средств субъекта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Сведения о правопреемственности по всем обязательствам реорганизуемого субъекта бюджетной отчетности в отношении всех кредиторов и должников, включая и обязательства, оспариваемые в суде, а также иная информация, характеризующая показатели бухгалтерской отчетности реорганизуемого субъекта бюджетной отчетности за отчетный период</w:t>
            </w:r>
          </w:p>
        </w:tc>
      </w:tr>
      <w:tr>
        <w:tc>
          <w:tcPr/>
          <w:p>
            <w:pPr>
              <w:jc w:val="left"/>
            </w:pPr>
            <w:r>
              <w:t xml:space="preserve">Реорганизация в 2020 году не проводилась.</w:t>
            </w:r>
          </w:p>
        </w:tc>
      </w:tr>
      <w:tr>
        <w:tc>
          <w:tcPr/>
          <w:p>
            <w:pPr>
              <w:pStyle w:val="Compact"/>
            </w:pPr>
          </w:p>
        </w:tc>
      </w:tr>
      <w:tr>
        <w:tc>
          <w:tcPr/>
          <w:p>
            <w:pPr>
              <w:jc w:val="left"/>
            </w:pPr>
            <w:r>
              <w:rPr>
                <w:bCs/>
                <w:b/>
              </w:rPr>
              <w:t xml:space="preserve">Информация о событии после отчетной даты, которая не используется при формировании показателей бухгалтерской (финансовой) отчетности в целях соблюдения сроков представления бухгалтерской (финансовой) отчетности и (или) в связи с поздним поступлением первичных учетных документов (отражается информация об указанном событии и его оценке в денежном выражении)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обнаруженных ошибок, поступления первичных учетных документов после предельной даты ее представления, но до даты ее принятия уполномоченным органом и требующих внесения изменений в регистры бухгалтерского учета (исправления ошибок в учете отражаются субъектом учета последним днем отчетного периода дополнительной бухгалтерской записью либо бухгалтерской записью, оформленной по способу «Красное сторно» и путем формирования уточненной бухгалтерской (финансовой) отчетности). В Пояснениях к уточненной бухгалтерской (финансовой) отчетности приводится информация об изменениях в ранее представленную бухгалтерскую (финансовую) отчетность, с указанием причин внесения исправлений и их содержания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обнаруженных ошибок, поступления первичных учетных документов после даты принятия бухгалтерской (финансовой) отчетности, но до даты ее утверждения, и требующих внесения изменений в регистры бухгалтерского учета (исправления ошибок в учете отражаются субъектом учета последним днем отчетного периода дополнительной бухгалтерской записью либо бухгалтерской записью, оформленной по способу «Красное сторно» и путем формирования уточненной бухгалтерской (финансовой) отчетности). В Пояснениях к уточненной бухгалтерской (финансовой) отчетности приводится информация об изменениях в ранее представленную бухгалтерскую (финансовую) отчетность, с указанием причин внесения исправлений и их содержания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описание ошибки</w:t>
            </w:r>
          </w:p>
        </w:tc>
      </w:tr>
      <w:tr>
        <w:tc>
          <w:tcPr/>
          <w:p>
            <w:pPr>
              <w:jc w:val="left"/>
            </w:pPr>
            <w:r>
              <w:t xml:space="preserve">В 2020 году обнаружена ошибка 2019 года по начисленным налогам в сумме 5000,00руб.</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сумма корректировки по каждой статье бухгалтерской (финансовой) отчетности за каждый из предшествующих годов, для которых в бухгалтерской (финансовой) отчетности раскрываются сравнительные показатели</w:t>
            </w:r>
          </w:p>
        </w:tc>
      </w:tr>
      <w:tr>
        <w:tc>
          <w:tcPr/>
          <w:p>
            <w:pPr>
              <w:jc w:val="left"/>
            </w:pPr>
            <w:r>
              <w:t xml:space="preserve">Изменения в сумме 5000,00 руб. внесены в разд. 2 «Изменения (пересчеты)» по коду причины 03 на основе данных журнала по прочим операциям (ф. 0504071) с признаком «Исправление ошибок прошлых лет».На основании сведений (ф. 0503173) при составлении бухгалтерской отчетности за отчетный период, в котором были обнаружены ошибки прошлых лет,ф. 0503130 (баланс); ф. 0503121 ф.0503110; ф.0503169Д</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общая сумма корректировки на начало самого раннего из предшествующих годов, для которого в бухгалтерской (финансовой) отчетности раскрываются сравнительные показатели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описание причин, по которым корректировка сравнительных показателей бухгалтерской (финансовой) отчетности за один или несколько предшествующих годов не представляется возможным, а также описание способа отражения исправления ошибки с указанием периода, в котором отражены исправления</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положениях учетной политики субъекта учета (о применяемых способах ведения бухгалтерского учета, составе и содержании документов учетной политики)</w:t>
            </w:r>
          </w:p>
        </w:tc>
      </w:tr>
      <w:tr>
        <w:tc>
          <w:tcPr/>
          <w:p>
            <w:pPr>
              <w:jc w:val="left"/>
            </w:pPr>
            <w:r>
              <w:t xml:space="preserve">Учетная политика Учреждения определяет совокупность принципов, правил организации и технологии реализации способов ведения бюджетного учета. Учетная политика разработана с целью формирования в бюджетном учете и отчетности максимально полной, объективной и достоверной информации о наличии имущества, его использовании, о принятых обязательствах, о движении денежных средств, о результатах исполнения бюджета и финансовом результате деятельности Учреждения, необходимой внутренним и внешним пользователям информации. Изменение учетной политики может производиться при следующих условиях:oизменения законодательства Российской Федерации о бухгалтерском учете, нормативных правовых актов, регулирующих ведение бухгалтерского (бюджетного) учета и составление бухгалтерской (финансовой) отчетности;oформирования или утверждения новых правил (способов) ведения бухгалтерского (бюджетного) учета, применение которых позволит представить в бухгалтерской (финансовой) отчетности релевантную и достоверную информацию;oсущественного изменения условий деятельности Учреждения, включая реорганизацию, изменение возложенных полномочий и (или) выполняемых функций.Последствия изменения Учетной политики отражаются в бюджетном учете и бюджетной отчетности в соответствии с требованиями нормативных правовых актов, регулирующих ведение бухгалтерского (бюджетного) учета и составления бухгалтерской (финансовой) отчетности. Бухгалтерский (бюджетный) учет (далее – бюджетный учет) в Учреждении ведется в соответствии с Гражданским кодексом Российский Федерации, Бюджетным кодексом Российской Федерации, Налоговым кодексом Российской Федерации, Трудовым кодексом Российской Федерации, Федеральным законом «О бухгалтерском учете», федеральными стандартами и иными нормативно-правовыми актами, регулирующими бухгалтерский учет. Бюджетный учет ведет структурное подразделение – Бухгалтерия, возглавляемая главным бухгалтером. Ответственным за ведение бюджетного учета в Учреждении является главный бухгалтер. . Бюджетный учет в Учреждении ведется автоматизированным способом на базе универсальной автоматизированной информационной системы «Бюджетный учет» (далее - УАИС «Бюджетный учет») на платформе 1С «Бухгалтерия государственного учреждения», 1С «Зарплата и кадры государственного учреждения». Информация об объектах учета формируется в базах данных используемых программных продуктов. Отражение операций при ведении бюджетного учета осуществляется в соответствии с рабочим планом счетов бюджетного учета (приложение № 1), утвержденным Инструкцией № 157н и Инструкцией № 162н с учетом внесенных изменений и дополнений. Внутренний контроль совершаемых фактов хозяйственной жизни осуществляется в соответствии с положением, приведенным в Приложении к Учетной политике.Постоянный текущий контроль в ходе своей деятельности осуществляют в рамках своих полномочий:Организация работы по принятию к учету и на постоянной основе комиссией по поступлению и выбытию активов, действующей в соответствии с положением. Перечень должностных лиц, имеющих право подписи первичных учетных документов, денежных и расчетных документов, финансовых обязательств, утвержден отдельным приказом Учреждения.Первоначальная стоимость объектов основных средств определяется по справедливой стоимости, установленной методом рыночных цен на дату принятия к учету, в отношении следующих объектов: oбезвозмездно полученных от физических или юридических лиц по договорам дарения, пожертвования и т.п. (за исключением объектов, полученных от организаций государственного сектора при условии, что в передаточных документах указана стоимость таких объектов);oпри выявлении объектов, созданных в рамках проведения ремонтных работ, соответствующих критериям признания объектов основных средств;oвыявленных по результатам инвентаризации.В случае отсутствия информации о рыночных ценах в отношении указанных в настоящем пункте объектах основных средств первоначальная стоимость определяется по методу амортизированной стоимости замещения. 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п. 35 СГС "Основные средства", п. 44 Инструкции № 157н. Амортизация по всем основным средствам начисляется ежемесячно линейным методом. Учет объектов на забалансовом счете 21 ведется по балансовой стоимости введенного в эксплуатацию объекта.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 Выбытие материальных запасов признается по средней фактической стоимости запасов.</w:t>
            </w:r>
          </w:p>
        </w:tc>
      </w:tr>
      <w:tr>
        <w:tc>
          <w:tcPr/>
          <w:p>
            <w:pPr>
              <w:pStyle w:val="Compact"/>
            </w:pPr>
          </w:p>
        </w:tc>
      </w:tr>
      <w:tr>
        <w:tc>
          <w:tcPr/>
          <w:p>
            <w:pPr>
              <w:jc w:val="left"/>
            </w:pPr>
            <w:r>
              <w:rPr>
                <w:bCs/>
                <w:b/>
              </w:rPr>
              <w:t xml:space="preserve">Обоснование изменения учетной политики, в случае если последствия изменения учетной политики, оказали или способны оказать на существенные изменения показателей, отражающих финансовое положение, финансовые результаты деятельности субъекта учета и (или) движение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Содержание изменения учетной политики, в случае если последствия изменения учетной политики, оказали или способны оказать на существенные изменения показателей, отражающих финансовое положение, финансовые результаты деятельности субъекта учета и (или) движение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Порядок отражения последствий изменения учетной политики в бухгалтерской (финансовой) отчетности, включая указание на обстоятельства, в связи с которыми применяется выбранный способ ведения бухгалтерского учета, и дату, с которой он применяется, в случае если последствия изменения учетной политики, оказали или способны оказать на существенные изменения показателей, отражающих финансовое положение, финансовые результаты деятельности субъекта учета и (или) движение денежных средств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суммах корректировок, связанных с изменением учетной политики, по каждой статье бухгалтерской (финансовой) отчетности за каждый из предшествующих годов, для которых в бухгалтерской (финансовой) отчетности раскрываются сравнительные показатели в случае ретроспективного применения измененной учетной политики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суммах корректировок, относящихся к годам, предшествующим тем, для которых в бухгалтерской (финансовой) отчетности субъекта учета раскрываются сравнительные показатели в случае ретроспективного применения измененной учетной политики. Указанная сумма корректировки раскрывается в отношении сопоставимых показателей в случае, когда такие корректировки возможно определить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Раскрытие информации о применении измененной учетной политики, в случае если раскрытие информации, невозможно осуществить относительно сравнительных показателей по году (годам) предшествующему году изменения учетной политики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Описание изменения оценочного значения, повлиявшего на показатели бухгалтерской (финансовой) отчетности за отчетный период, с указанием денежных (стоимостных) значений таких изменений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Описание изменения оценочного значения, которое повлияет на показатели бухгалтерской (финансовой) отчетности за периоды, следующие за отчетным, с указанием денежных (стоимостных) значений таких изменений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Пояснения причин, почему определить влияние изменения оценочного значения на показатели бухгалтерской (финансовой) отчетности за будущие периоды в денежном (стоимостном) значении не представляется возможным</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событиях, подтверждающих условия хозяйственной деятельности на отчетную дату отраженных с учетом событий после отчетной даты, на основании которых сформированы показатели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событиях после отчетной даты, свидетельствующих об условиях деятельности (краткое описание (характеристика) событий после отчетной даты, оценка последствий их наступления в денежном выражении, либо причины невозможности оценки события в денежном выражении)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Описание события после отчетной даты и его оценка в денежном выражении в случае, если для соблюдения сроков представления бухгалтерской (финансовой) отчетности и (или) в связи с поздним поступлением в пределах срока формирования и представления бухгалтерской (финансовой) отчетности первичных учетных документов информация о событии после отчетной даты не отражается в бухгалтерском учете и (или) не используется при формировании показателей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Описание события после отчетной даты и его оценка в денежном выражении в случае, если в период между датой подписания бухгалтерской (финансовой) отчетности и датой ее принятия (утверждения) получена новая информация о событии после отчетной даты и (или) произошло (выявлено) событие, которое в ближайшем будущем окажет существенное влияние на финансовое положение, финансовый результат и (или) движение денежных средств субъекта отчетности, при этом не отражается в бухгалтерском учете и (или) не используется при формировании показателей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положениях учетной политики, устанавливающих особенности признания доходов субъектом учета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Данные об условных обязательствах, формирующие существенную информацию: краткое описание условных обязательств</w:t>
            </w:r>
          </w:p>
        </w:tc>
      </w:tr>
      <w:tr>
        <w:tc>
          <w:tcPr/>
          <w:p>
            <w:pPr>
              <w:jc w:val="left"/>
            </w:pPr>
            <w:r>
              <w:t xml:space="preserve">Условным обязательством считается такое обязательство компании, которое возникло из прошлых событий хозяйственной жизни, и его наличие подтвердится лишь тем, что в будущем произойдет или не произойдет одно или несколько неопределенных событий, не подконтрольных полностью руководству компании (так называемые возможные обязательства). В управе информация отсутствует.</w:t>
            </w:r>
          </w:p>
        </w:tc>
      </w:tr>
      <w:tr>
        <w:tc>
          <w:tcPr/>
          <w:p>
            <w:pPr>
              <w:pStyle w:val="Compact"/>
            </w:pPr>
          </w:p>
        </w:tc>
      </w:tr>
      <w:tr>
        <w:tc>
          <w:tcPr/>
          <w:p>
            <w:pPr>
              <w:jc w:val="left"/>
            </w:pPr>
            <w:r>
              <w:rPr>
                <w:bCs/>
                <w:b/>
              </w:rPr>
              <w:t xml:space="preserve">Данные об условных обязательствах, формирующие существенную информацию: оценка влияния условных обязательств на финансовые показатели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Данные об условных активах, формирующие существенную информацию: краткое описание условных активов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Данные об условных активах, формирующие существенную информацию: оценка влияния условных активов на финансовые показатели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утвержденной учетной политики, принятой для оценки запасов, включая применяемые методы расчета себестоимости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общей балансовой стоимости запасов в разрезе групп запасов, с разделением на учитываемые по первоначальной стоимости, по нормативно-плановой стоимости (цене) для целей распоряжения (реализации), и по справедливой стоимости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сумме запасов, признанных в качестве расходов в отчетном периоде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сумме начисленного резерва под снижение стоимости материальных запасов</w:t>
            </w:r>
          </w:p>
        </w:tc>
      </w:tr>
      <w:tr>
        <w:tc>
          <w:tcPr/>
          <w:p>
            <w:pPr>
              <w:jc w:val="left"/>
            </w:pPr>
            <w:r>
              <w:t xml:space="preserve">Резерв под снижение материальных запасов в управе не начисляется.</w:t>
            </w:r>
          </w:p>
        </w:tc>
      </w:tr>
      <w:tr>
        <w:tc>
          <w:tcPr/>
          <w:p>
            <w:pPr>
              <w:pStyle w:val="Compact"/>
            </w:pPr>
          </w:p>
        </w:tc>
      </w:tr>
      <w:tr>
        <w:tc>
          <w:tcPr/>
          <w:p>
            <w:pPr>
              <w:jc w:val="left"/>
            </w:pPr>
            <w:r>
              <w:rPr>
                <w:bCs/>
                <w:b/>
              </w:rPr>
              <w:t xml:space="preserve">Информация о сумме уменьшения резерва под снижение стоимости материальных запасов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балансовой стоимости запасов, заложенных в качестве обеспечения исполнения обязательств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корректировки финансового результата прошлых лет, в результате первого применения Стандарта от признания запасов, ранее не отраженных в бухгалтерском учете, а также от пересмотра балансовой стоимости запасов</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ошибки бухгалтерской (финансовой) отчетности, допущенной в текущем финансовом году (ошибка отчетного года) и выявленной после даты принятия (утверждения) квартальной бухгалтерской (финансовой) отчетности (информация о существенности ошибки, описание ошибки (содержания и суммы), а также суммовых значений выполненных корректировок бухгалтерской (финансовой) отчетности)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каждого долгосрочного договора строительного подряда: способ определения процента исполнения обязательств по долгосрочному договору строительного подряда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каждому долгосрочному договору строительного подряда (за отчетный период и с начала исполнения): величина доходов от реализации; величина себестоимости выполненных работ; величина финансового результата, с выделением суммы, не входящей в себестоимость выполненных работ</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величине расчетов по каждому долгосрочному договору строительного подряда на отчетную дату: по предварительной оплате (авансам полученным), по доходам от реализации, по доходам к предъявлению, информация о причинах возникновения и сроках погашения дебиторской задолженности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иных долгосрочных договоров: величина доходов от реализации (по видам выполненных работ (оказанных услуг)</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объектах учета, признанных при первом применении положений федерального стандарта бухгалтерского учета для организаций государственного сектора «Долгосрочные договоры»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в отношении каждого концессионного соглашения: наименование концессионера и реквизиты концессионного соглашения; срок действия концессионного соглашения; описание деятельности, предусмотренной концессионным соглашением; описание изменений существенных условий концессионного соглашения, произошедших в отчетном периоде</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данных об имуществе концедента на начало и на конец отчетного периода: состав имущества концедента с указанием балансовой стоимости каждого объекта и суммы накопленной амортизации; сметная стоимость создания и (или) реконструкции объекта концессионного соглашения; фактическая величина инвестиций концессионера в создание и (или) реконструкцию объекта концессионного соглашения; планируемая и фактическая даты ввода в эксплуатацию объекта концессионного соглашения; пояснения в отношении причин изменения раскрываемых показателей</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об обязательствах концедента на начало и на конец отчетного периода по: финансовому обеспечению (финансированию (возмещению) расходов на создание и (или) реконструкцию объекта концессионного соглашения; финансовому обеспечению (финансированию (возмещению) расходов на использование (эксплуатацию) указанного объекта; возмещению недополученного дохода концессионера; предоставленным концессионеру государственным и (или) муниципальным гарантиям и их исполнению</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доходах концедента: величина доходов от концессионной платы, признанных концедентом в отчетном периоде; величина доходов концедента от создания и (или) реконструкции объекта концессионного соглашения, признанных концедентом в отчетном периоде; величина задолженности концессионера по концессионной плате на отчетную дату с выделением суммы просроченной задолженности концессионера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сметной стоимости создания и (или) реконструкции объекта концессионного соглашения и фактической величины инвестиций концессионера в создание и (или) реконструкцию объекта концессионного соглашения если передача имущества по концессионному соглашению осуществляется без прекращения права оперативного управления в отношении имущества, находящегося у государственного (муниципального) учреждения, или без прекращения права хозяйственного ведения в отношении имущества, принадлежащего государственному (муниципальному) предприятию, учреждению, являющимся балансодержателем передаваемого имущества</w:t>
            </w:r>
          </w:p>
        </w:tc>
      </w:tr>
      <w:tr>
        <w:tc>
          <w:tcPr/>
          <w:p>
            <w:pPr>
              <w:jc w:val="left"/>
            </w:pPr>
            <w:r>
              <w:t xml:space="preserve">Информация отсутствует.</w:t>
            </w:r>
          </w:p>
        </w:tc>
      </w:tr>
      <w:tr>
        <w:tc>
          <w:tcPr/>
          <w:p>
            <w:pPr>
              <w:pStyle w:val="Compact"/>
            </w:pPr>
          </w:p>
        </w:tc>
      </w:tr>
      <w:tr>
        <w:tc>
          <w:tcPr/>
          <w:p>
            <w:pPr>
              <w:jc w:val="left"/>
            </w:pPr>
            <w:r>
              <w:rPr>
                <w:bCs/>
                <w:b/>
              </w:rPr>
              <w:t xml:space="preserve">Прочая информация</w:t>
            </w:r>
          </w:p>
        </w:tc>
      </w:tr>
      <w:tr>
        <w:tc>
          <w:tcPr/>
          <w:p>
            <w:pPr>
              <w:jc w:val="left"/>
            </w:pPr>
            <w:r>
              <w:t xml:space="preserve">Информация отсутствует.</w:t>
            </w:r>
          </w:p>
        </w:tc>
      </w:tr>
      <w:tr>
        <w:tc>
          <w:tcPr/>
          <w:p>
            <w:pPr>
              <w:pStyle w:val="Compact"/>
            </w:pPr>
          </w:p>
        </w:tc>
      </w:tr>
      <w:tr>
        <w:tc>
          <w:tcPr/>
          <w:p>
            <w:pPr>
              <w:pStyle w:val="Compact"/>
            </w:pPr>
          </w:p>
        </w:tc>
      </w:tr>
    </w:tbl>
    <w:p>
      <w:pPr>
        <w:pStyle w:val="BodyText"/>
      </w:pPr>
      <w:r>
        <w:br/>
      </w:r>
    </w:p>
    <w:p>
      <w:pPr>
        <w:pStyle w:val="BodyText"/>
      </w:pPr>
      <w:r>
        <w:rPr>
          <w:bCs/>
          <w:b/>
        </w:rPr>
        <w:t xml:space="preserve">Информация о причинах отклонений показателей представленных форм отчетности по внутридокументным контрольным соотношениям, установленным в автоматизированной информационной системе Департамента финансов города Москвы (в части допустимых отклонений, требующих пояснений)</w:t>
      </w:r>
    </w:p>
    <w:tbl>
      <w:tblPr>
        <w:tblStyle w:val="Table"/>
        <w:tblW w:type="auto" w:w="0"/>
        <w:tblLook w:firstRow="0" w:lastRow="0" w:firstColumn="0" w:lastColumn="0" w:noHBand="0" w:noVBand="0" w:val="0000"/>
      </w:tblPr>
      <w:tblGrid>
        <w:gridCol w:w="880"/>
        <w:gridCol w:w="880"/>
        <w:gridCol w:w="880"/>
        <w:gridCol w:w="880"/>
        <w:gridCol w:w="880"/>
        <w:gridCol w:w="880"/>
        <w:gridCol w:w="880"/>
        <w:gridCol w:w="880"/>
        <w:gridCol w:w="880"/>
      </w:tblGrid>
      <w:tr>
        <w:tc>
          <w:tcPr/>
          <w:p>
            <w:pPr>
              <w:jc w:val="left"/>
            </w:pPr>
            <w:r>
              <w:rPr>
                <w:bCs/>
                <w:b/>
              </w:rPr>
              <w:t xml:space="preserve">Форма</w:t>
            </w:r>
          </w:p>
        </w:tc>
        <w:tc>
          <w:tcPr/>
          <w:p>
            <w:pPr>
              <w:jc w:val="left"/>
            </w:pPr>
            <w:r>
              <w:rPr>
                <w:bCs/>
                <w:b/>
              </w:rPr>
              <w:t xml:space="preserve">Атрибут</w:t>
            </w:r>
          </w:p>
        </w:tc>
        <w:tc>
          <w:tcPr/>
          <w:p>
            <w:pPr>
              <w:jc w:val="left"/>
            </w:pPr>
            <w:r>
              <w:rPr>
                <w:bCs/>
                <w:b/>
              </w:rPr>
              <w:t xml:space="preserve">Номер КС</w:t>
            </w:r>
          </w:p>
        </w:tc>
        <w:tc>
          <w:tcPr/>
          <w:p>
            <w:pPr>
              <w:jc w:val="left"/>
            </w:pPr>
            <w:r>
              <w:rPr>
                <w:bCs/>
                <w:b/>
              </w:rPr>
              <w:t xml:space="preserve">Описание КС</w:t>
            </w:r>
          </w:p>
        </w:tc>
        <w:tc>
          <w:tcPr/>
          <w:p>
            <w:pPr>
              <w:jc w:val="left"/>
            </w:pPr>
            <w:r>
              <w:rPr>
                <w:bCs/>
                <w:b/>
              </w:rPr>
              <w:t xml:space="preserve">Комментарий КС</w:t>
            </w:r>
          </w:p>
        </w:tc>
        <w:tc>
          <w:tcPr/>
          <w:p>
            <w:pPr>
              <w:jc w:val="left"/>
            </w:pPr>
            <w:r>
              <w:rPr>
                <w:bCs/>
                <w:b/>
              </w:rPr>
              <w:t xml:space="preserve">Значение слева</w:t>
            </w:r>
          </w:p>
        </w:tc>
        <w:tc>
          <w:tcPr/>
          <w:p>
            <w:pPr>
              <w:jc w:val="left"/>
            </w:pPr>
            <w:r>
              <w:rPr>
                <w:bCs/>
                <w:b/>
              </w:rPr>
              <w:t xml:space="preserve">Значение справа</w:t>
            </w:r>
          </w:p>
        </w:tc>
        <w:tc>
          <w:tcPr/>
          <w:p>
            <w:pPr>
              <w:jc w:val="left"/>
            </w:pPr>
            <w:r>
              <w:rPr>
                <w:bCs/>
                <w:b/>
              </w:rPr>
              <w:t xml:space="preserve">Отклонение</w:t>
            </w:r>
          </w:p>
        </w:tc>
        <w:tc>
          <w:tcPr/>
          <w:p>
            <w:pPr>
              <w:jc w:val="left"/>
            </w:pPr>
            <w:r>
              <w:rPr>
                <w:bCs/>
                <w:b/>
              </w:rPr>
              <w:t xml:space="preserve">Пояснение</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c>
          <w:tcPr/>
          <w:p>
            <w:pPr>
              <w:jc w:val="left"/>
            </w:pPr>
            <w:r>
              <w:rPr>
                <w:bCs/>
                <w:b/>
              </w:rPr>
              <w:t xml:space="preserve">4</w:t>
            </w:r>
          </w:p>
        </w:tc>
        <w:tc>
          <w:tcPr/>
          <w:p>
            <w:pPr>
              <w:jc w:val="left"/>
            </w:pPr>
            <w:r>
              <w:rPr>
                <w:bCs/>
                <w:b/>
              </w:rPr>
              <w:t xml:space="preserve">5</w:t>
            </w:r>
          </w:p>
        </w:tc>
        <w:tc>
          <w:tcPr/>
          <w:p>
            <w:pPr>
              <w:jc w:val="left"/>
            </w:pPr>
            <w:r>
              <w:rPr>
                <w:bCs/>
                <w:b/>
              </w:rPr>
              <w:t xml:space="preserve">6</w:t>
            </w:r>
          </w:p>
        </w:tc>
        <w:tc>
          <w:tcPr/>
          <w:p>
            <w:pPr>
              <w:jc w:val="left"/>
            </w:pPr>
            <w:r>
              <w:rPr>
                <w:bCs/>
                <w:b/>
              </w:rPr>
              <w:t xml:space="preserve">7</w:t>
            </w:r>
          </w:p>
        </w:tc>
        <w:tc>
          <w:tcPr/>
          <w:p>
            <w:pPr>
              <w:jc w:val="left"/>
            </w:pPr>
            <w:r>
              <w:rPr>
                <w:bCs/>
                <w:b/>
              </w:rPr>
              <w:t xml:space="preserve">8</w:t>
            </w:r>
          </w:p>
        </w:tc>
        <w:tc>
          <w:tcPr/>
          <w:p>
            <w:pPr>
              <w:jc w:val="left"/>
            </w:pPr>
            <w:r>
              <w:rPr>
                <w:bCs/>
                <w:b/>
              </w:rPr>
              <w:t xml:space="preserve">9</w:t>
            </w:r>
          </w:p>
        </w:tc>
      </w:tr>
      <w:tr>
        <w:tc>
          <w:tcPr/>
          <w:p>
            <w:pPr>
              <w:jc w:val="left"/>
            </w:pPr>
            <w:r>
              <w:t xml:space="preserve">0503169G_БД</w:t>
            </w:r>
          </w:p>
        </w:tc>
        <w:tc>
          <w:tcPr/>
          <w:p>
            <w:pPr>
              <w:jc w:val="left"/>
            </w:pPr>
            <w:r>
              <w:t xml:space="preserve">Вид финансового обеспечения_169=1,Наименование финансового обеспечения_169=бюджетная</w:t>
            </w:r>
          </w:p>
        </w:tc>
        <w:tc>
          <w:tcPr/>
          <w:p>
            <w:pPr>
              <w:jc w:val="left"/>
            </w:pPr>
            <w:r>
              <w:t xml:space="preserve">Р-20</w:t>
            </w:r>
          </w:p>
        </w:tc>
        <w:tc>
          <w:tcPr/>
          <w:p>
            <w:pPr>
              <w:jc w:val="left"/>
            </w:pPr>
            <w:r>
              <w:t xml:space="preserve">т1 гр2</w:t>
            </w:r>
          </w:p>
        </w:tc>
        <w:tc>
          <w:tcPr/>
          <w:p>
            <w:pPr>
              <w:jc w:val="left"/>
            </w:pPr>
            <w:r>
              <w:t xml:space="preserve">Наличие остатков на начало года по данному кбк требует пояснения.</w:t>
            </w:r>
          </w:p>
        </w:tc>
        <w:tc>
          <w:tcPr/>
          <w:p>
            <w:pPr>
              <w:jc w:val="left"/>
            </w:pPr>
            <w:r>
              <w:t xml:space="preserve">5 000,00</w:t>
            </w:r>
          </w:p>
        </w:tc>
        <w:tc>
          <w:tcPr/>
          <w:p>
            <w:pPr>
              <w:jc w:val="left"/>
            </w:pPr>
            <w:r>
              <w:t xml:space="preserve">0</w:t>
            </w:r>
          </w:p>
        </w:tc>
        <w:tc>
          <w:tcPr/>
          <w:p>
            <w:pPr>
              <w:jc w:val="left"/>
            </w:pPr>
            <w:r>
              <w:t xml:space="preserve">5 000,00</w:t>
            </w:r>
          </w:p>
        </w:tc>
        <w:tc>
          <w:tcPr/>
          <w:p>
            <w:pPr>
              <w:jc w:val="left"/>
            </w:pPr>
            <w:r>
              <w:t xml:space="preserve">Доходы от денежных взысканий (штрафов), поступающие в счет погашения задолженности, образовавшейся до 1 января 2020 года</w:t>
            </w:r>
          </w:p>
        </w:tc>
      </w:tr>
    </w:tbl>
    <w:p>
      <w:pPr>
        <w:pStyle w:val="BodyText"/>
      </w:pPr>
      <w:r>
        <w:rPr>
          <w:bCs/>
          <w:b/>
        </w:rPr>
        <w:t xml:space="preserve">Информация о причинах отклонений показателей представленных форм отчетности по междокументным контрольным соотношениям, установленным в автоматизированной информационной системе Департамента финансов города Москвы (в части допустимых отклонений, требующих пояснений)</w:t>
      </w:r>
    </w:p>
    <w:tbl>
      <w:tblPr>
        <w:tblStyle w:val="Table"/>
        <w:tblW w:type="auto" w:w="0"/>
        <w:tblLook w:firstRow="0" w:lastRow="0" w:firstColumn="0" w:lastColumn="0" w:noHBand="0" w:noVBand="0" w:val="0000"/>
      </w:tblPr>
      <w:tblGrid>
        <w:gridCol w:w="720"/>
        <w:gridCol w:w="720"/>
        <w:gridCol w:w="720"/>
        <w:gridCol w:w="720"/>
        <w:gridCol w:w="720"/>
        <w:gridCol w:w="720"/>
        <w:gridCol w:w="720"/>
        <w:gridCol w:w="720"/>
        <w:gridCol w:w="720"/>
        <w:gridCol w:w="720"/>
        <w:gridCol w:w="720"/>
      </w:tblGrid>
      <w:tr>
        <w:tc>
          <w:tcPr/>
          <w:p>
            <w:pPr>
              <w:jc w:val="left"/>
            </w:pPr>
            <w:r>
              <w:rPr>
                <w:bCs/>
                <w:b/>
              </w:rPr>
              <w:t xml:space="preserve">Номер КС</w:t>
            </w:r>
          </w:p>
        </w:tc>
        <w:tc>
          <w:tcPr/>
          <w:p>
            <w:pPr>
              <w:jc w:val="left"/>
            </w:pPr>
            <w:r>
              <w:rPr>
                <w:bCs/>
                <w:b/>
              </w:rPr>
              <w:t xml:space="preserve">Описание КС</w:t>
            </w:r>
          </w:p>
        </w:tc>
        <w:tc>
          <w:tcPr/>
          <w:p>
            <w:pPr>
              <w:jc w:val="left"/>
            </w:pPr>
            <w:r>
              <w:rPr>
                <w:bCs/>
                <w:b/>
              </w:rPr>
              <w:t xml:space="preserve">Комментарий КС</w:t>
            </w:r>
          </w:p>
        </w:tc>
        <w:tc>
          <w:tcPr/>
          <w:p>
            <w:pPr>
              <w:jc w:val="left"/>
            </w:pPr>
            <w:r>
              <w:rPr>
                <w:bCs/>
                <w:b/>
              </w:rPr>
              <w:t xml:space="preserve">Форма слева</w:t>
            </w:r>
          </w:p>
        </w:tc>
        <w:tc>
          <w:tcPr/>
          <w:p>
            <w:pPr>
              <w:jc w:val="left"/>
            </w:pPr>
            <w:r>
              <w:rPr>
                <w:bCs/>
                <w:b/>
              </w:rPr>
              <w:t xml:space="preserve">Атрибут</w:t>
            </w:r>
          </w:p>
        </w:tc>
        <w:tc>
          <w:tcPr/>
          <w:p>
            <w:pPr>
              <w:jc w:val="left"/>
            </w:pPr>
            <w:r>
              <w:rPr>
                <w:bCs/>
                <w:b/>
              </w:rPr>
              <w:t xml:space="preserve">Значение</w:t>
            </w:r>
          </w:p>
        </w:tc>
        <w:tc>
          <w:tcPr/>
          <w:p>
            <w:pPr>
              <w:jc w:val="left"/>
            </w:pPr>
            <w:r>
              <w:rPr>
                <w:bCs/>
                <w:b/>
              </w:rPr>
              <w:t xml:space="preserve">Форма справа</w:t>
            </w:r>
          </w:p>
        </w:tc>
        <w:tc>
          <w:tcPr/>
          <w:p>
            <w:pPr>
              <w:jc w:val="left"/>
            </w:pPr>
            <w:r>
              <w:rPr>
                <w:bCs/>
                <w:b/>
              </w:rPr>
              <w:t xml:space="preserve">Атрибут</w:t>
            </w:r>
          </w:p>
        </w:tc>
        <w:tc>
          <w:tcPr/>
          <w:p>
            <w:pPr>
              <w:jc w:val="left"/>
            </w:pPr>
            <w:r>
              <w:rPr>
                <w:bCs/>
                <w:b/>
              </w:rPr>
              <w:t xml:space="preserve">Значение</w:t>
            </w:r>
          </w:p>
        </w:tc>
        <w:tc>
          <w:tcPr/>
          <w:p>
            <w:pPr>
              <w:jc w:val="left"/>
            </w:pPr>
            <w:r>
              <w:rPr>
                <w:bCs/>
                <w:b/>
              </w:rPr>
              <w:t xml:space="preserve">Отклонение</w:t>
            </w:r>
          </w:p>
        </w:tc>
        <w:tc>
          <w:tcPr/>
          <w:p>
            <w:pPr>
              <w:jc w:val="left"/>
            </w:pPr>
            <w:r>
              <w:rPr>
                <w:bCs/>
                <w:b/>
              </w:rPr>
              <w:t xml:space="preserve">Пояснение</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c>
          <w:tcPr/>
          <w:p>
            <w:pPr>
              <w:jc w:val="left"/>
            </w:pPr>
            <w:r>
              <w:rPr>
                <w:bCs/>
                <w:b/>
              </w:rPr>
              <w:t xml:space="preserve">4</w:t>
            </w:r>
          </w:p>
        </w:tc>
        <w:tc>
          <w:tcPr/>
          <w:p>
            <w:pPr>
              <w:jc w:val="left"/>
            </w:pPr>
            <w:r>
              <w:rPr>
                <w:bCs/>
                <w:b/>
              </w:rPr>
              <w:t xml:space="preserve">5</w:t>
            </w:r>
          </w:p>
        </w:tc>
        <w:tc>
          <w:tcPr/>
          <w:p>
            <w:pPr>
              <w:jc w:val="left"/>
            </w:pPr>
            <w:r>
              <w:rPr>
                <w:bCs/>
                <w:b/>
              </w:rPr>
              <w:t xml:space="preserve">6</w:t>
            </w:r>
          </w:p>
        </w:tc>
        <w:tc>
          <w:tcPr/>
          <w:p>
            <w:pPr>
              <w:jc w:val="left"/>
            </w:pPr>
            <w:r>
              <w:rPr>
                <w:bCs/>
                <w:b/>
              </w:rPr>
              <w:t xml:space="preserve">7</w:t>
            </w:r>
          </w:p>
        </w:tc>
        <w:tc>
          <w:tcPr/>
          <w:p>
            <w:pPr>
              <w:jc w:val="left"/>
            </w:pPr>
            <w:r>
              <w:rPr>
                <w:bCs/>
                <w:b/>
              </w:rPr>
              <w:t xml:space="preserve">8</w:t>
            </w:r>
          </w:p>
        </w:tc>
        <w:tc>
          <w:tcPr/>
          <w:p>
            <w:pPr>
              <w:jc w:val="left"/>
            </w:pPr>
            <w:r>
              <w:rPr>
                <w:bCs/>
                <w:b/>
              </w:rPr>
              <w:t xml:space="preserve">9</w:t>
            </w:r>
          </w:p>
        </w:tc>
        <w:tc>
          <w:tcPr/>
          <w:p>
            <w:pPr>
              <w:jc w:val="left"/>
            </w:pPr>
            <w:r>
              <w:rPr>
                <w:bCs/>
                <w:b/>
              </w:rPr>
              <w:t xml:space="preserve">10</w:t>
            </w:r>
          </w:p>
        </w:tc>
        <w:tc>
          <w:tcPr/>
          <w:p>
            <w:pPr>
              <w:jc w:val="left"/>
            </w:pPr>
            <w:r>
              <w:rPr>
                <w:bCs/>
                <w:b/>
              </w:rPr>
              <w:t xml:space="preserve">11</w:t>
            </w:r>
          </w:p>
        </w:tc>
      </w:tr>
      <w:tr>
        <w:tc>
          <w:tcPr/>
          <w:p>
            <w:pPr>
              <w:jc w:val="left"/>
            </w:pPr>
            <w:r>
              <w:t xml:space="preserve">ФК-2-1.1_169-2</w:t>
            </w:r>
          </w:p>
        </w:tc>
        <w:tc>
          <w:tcPr/>
          <w:p>
            <w:pPr>
              <w:jc w:val="left"/>
            </w:pPr>
            <w:r>
              <w:t xml:space="preserve">0503169G_БД т4 гр2 = 0503169G_БД т4 гр9 2019г</w:t>
            </w:r>
          </w:p>
        </w:tc>
        <w:tc>
          <w:tcPr/>
          <w:p>
            <w:pPr>
              <w:jc w:val="left"/>
            </w:pPr>
            <w:r>
              <w:t xml:space="preserve">Сумма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w:t>
            </w:r>
          </w:p>
        </w:tc>
        <w:tc>
          <w:tcPr/>
          <w:p>
            <w:pPr>
              <w:jc w:val="left"/>
            </w:pPr>
            <w:r>
              <w:t xml:space="preserve">0503169G_БД</w:t>
            </w:r>
          </w:p>
        </w:tc>
        <w:tc>
          <w:tcPr/>
          <w:p>
            <w:pPr>
              <w:jc w:val="left"/>
            </w:pPr>
            <w:r>
              <w:t xml:space="preserve">Вид финансового обеспечения_169=1,Наименование финансового обеспечения_169=бюджетная</w:t>
            </w:r>
          </w:p>
        </w:tc>
        <w:tc>
          <w:tcPr/>
          <w:p>
            <w:pPr>
              <w:jc w:val="left"/>
            </w:pPr>
            <w:r>
              <w:t xml:space="preserve">37 000,00</w:t>
            </w:r>
          </w:p>
        </w:tc>
        <w:tc>
          <w:tcPr/>
          <w:p>
            <w:pPr>
              <w:jc w:val="left"/>
            </w:pPr>
            <w:r>
              <w:t xml:space="preserve">0503169G_БД</w:t>
            </w:r>
          </w:p>
        </w:tc>
        <w:tc>
          <w:tcPr/>
          <w:p>
            <w:pPr>
              <w:jc w:val="left"/>
            </w:pPr>
            <w:r>
              <w:t xml:space="preserve">Код ВФО=1,Наименование финансового обеспечения_169=бюджетная</w:t>
            </w:r>
          </w:p>
        </w:tc>
        <w:tc>
          <w:tcPr/>
          <w:p>
            <w:pPr>
              <w:jc w:val="left"/>
            </w:pPr>
            <w:r>
              <w:t xml:space="preserve">0</w:t>
            </w:r>
          </w:p>
        </w:tc>
        <w:tc>
          <w:tcPr/>
          <w:p>
            <w:pPr>
              <w:jc w:val="left"/>
            </w:pPr>
            <w:r>
              <w:t xml:space="preserve">37 000,00</w:t>
            </w:r>
          </w:p>
        </w:tc>
        <w:tc>
          <w:tcPr/>
          <w:p>
            <w:pPr>
              <w:jc w:val="left"/>
            </w:pPr>
            <w:r>
              <w:t xml:space="preserve">Увеличение за счет поступивших доходов.</w:t>
            </w:r>
          </w:p>
        </w:tc>
      </w:tr>
      <w:tr>
        <w:tc>
          <w:tcPr/>
          <w:p>
            <w:pPr>
              <w:jc w:val="left"/>
            </w:pPr>
            <w:r>
              <w:t xml:space="preserve">ФК-2-1_169-4</w:t>
            </w:r>
          </w:p>
        </w:tc>
        <w:tc>
          <w:tcPr/>
          <w:p>
            <w:pPr>
              <w:jc w:val="left"/>
            </w:pPr>
            <w:r>
              <w:t xml:space="preserve">0503169G_БД т4 гр2 = 0503169G_БД т4 гр9 2019г</w:t>
            </w:r>
          </w:p>
        </w:tc>
        <w:tc>
          <w:tcPr/>
          <w:p>
            <w:pPr>
              <w:jc w:val="left"/>
            </w:pPr>
            <w:r>
              <w:t xml:space="preserve">Сумма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w:t>
            </w:r>
          </w:p>
        </w:tc>
        <w:tc>
          <w:tcPr/>
          <w:p>
            <w:pPr>
              <w:jc w:val="left"/>
            </w:pPr>
            <w:r>
              <w:t xml:space="preserve">0503169G_БД</w:t>
            </w:r>
          </w:p>
        </w:tc>
        <w:tc>
          <w:tcPr/>
          <w:p>
            <w:pPr>
              <w:jc w:val="left"/>
            </w:pPr>
            <w:r>
              <w:t xml:space="preserve">Вид финансового обеспечения_169=1,Наименование финансового обеспечения_169=бюджетная</w:t>
            </w:r>
          </w:p>
        </w:tc>
        <w:tc>
          <w:tcPr/>
          <w:p>
            <w:pPr>
              <w:jc w:val="left"/>
            </w:pPr>
            <w:r>
              <w:t xml:space="preserve">37 000,00</w:t>
            </w:r>
          </w:p>
        </w:tc>
        <w:tc>
          <w:tcPr/>
          <w:p>
            <w:pPr>
              <w:jc w:val="left"/>
            </w:pPr>
            <w:r>
              <w:t xml:space="preserve">0503169G_БД</w:t>
            </w:r>
          </w:p>
        </w:tc>
        <w:tc>
          <w:tcPr/>
          <w:p>
            <w:pPr>
              <w:jc w:val="left"/>
            </w:pPr>
            <w:r>
              <w:t xml:space="preserve">Код ВФО=1,Наименование финансового обеспечения_169=бюджетная</w:t>
            </w:r>
          </w:p>
        </w:tc>
        <w:tc>
          <w:tcPr/>
          <w:p>
            <w:pPr>
              <w:jc w:val="left"/>
            </w:pPr>
            <w:r>
              <w:t xml:space="preserve">0</w:t>
            </w:r>
          </w:p>
        </w:tc>
        <w:tc>
          <w:tcPr/>
          <w:p>
            <w:pPr>
              <w:jc w:val="left"/>
            </w:pPr>
            <w:r>
              <w:t xml:space="preserve">37 000,00</w:t>
            </w:r>
          </w:p>
        </w:tc>
        <w:tc>
          <w:tcPr/>
          <w:p>
            <w:pPr>
              <w:jc w:val="left"/>
            </w:pPr>
            <w:r>
              <w:t xml:space="preserve">Увеличение за счет поступивших доходов.</w:t>
            </w:r>
          </w:p>
        </w:tc>
      </w:tr>
      <w:tr>
        <w:tc>
          <w:tcPr/>
          <w:p>
            <w:pPr>
              <w:jc w:val="left"/>
            </w:pPr>
            <w:r>
              <w:t xml:space="preserve">ФК-2-1_169-4</w:t>
            </w:r>
          </w:p>
        </w:tc>
        <w:tc>
          <w:tcPr/>
          <w:p>
            <w:pPr>
              <w:jc w:val="left"/>
            </w:pPr>
            <w:r>
              <w:t xml:space="preserve">0503169G_БД т4 гр2 = 0503169G_БД т4 гр9 2019г</w:t>
            </w:r>
          </w:p>
        </w:tc>
        <w:tc>
          <w:tcPr/>
          <w:p>
            <w:pPr>
              <w:jc w:val="left"/>
            </w:pPr>
            <w:r>
              <w:t xml:space="preserve">Сумма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w:t>
            </w:r>
          </w:p>
        </w:tc>
        <w:tc>
          <w:tcPr/>
          <w:p>
            <w:pPr>
              <w:jc w:val="left"/>
            </w:pPr>
            <w:r>
              <w:t xml:space="preserve">0503169G_БД</w:t>
            </w:r>
          </w:p>
        </w:tc>
        <w:tc>
          <w:tcPr/>
          <w:p>
            <w:pPr>
              <w:jc w:val="left"/>
            </w:pPr>
            <w:r>
              <w:t xml:space="preserve">Вид финансового обеспечения_169=1,Наименование финансового обеспечения_169=бюджетная</w:t>
            </w:r>
          </w:p>
        </w:tc>
        <w:tc>
          <w:tcPr/>
          <w:p>
            <w:pPr>
              <w:jc w:val="left"/>
            </w:pPr>
            <w:r>
              <w:t xml:space="preserve">53 684,29</w:t>
            </w:r>
          </w:p>
        </w:tc>
        <w:tc>
          <w:tcPr/>
          <w:p>
            <w:pPr>
              <w:jc w:val="left"/>
            </w:pPr>
            <w:r>
              <w:t xml:space="preserve">0503169G_БД</w:t>
            </w:r>
          </w:p>
        </w:tc>
        <w:tc>
          <w:tcPr/>
          <w:p>
            <w:pPr>
              <w:jc w:val="left"/>
            </w:pPr>
            <w:r>
              <w:t xml:space="preserve">Код ВФО=1,Наименование финансового обеспечения_169=бюджетная</w:t>
            </w:r>
          </w:p>
        </w:tc>
        <w:tc>
          <w:tcPr/>
          <w:p>
            <w:pPr>
              <w:jc w:val="left"/>
            </w:pPr>
            <w:r>
              <w:t xml:space="preserve">16 684,29</w:t>
            </w:r>
          </w:p>
        </w:tc>
        <w:tc>
          <w:tcPr/>
          <w:p>
            <w:pPr>
              <w:jc w:val="left"/>
            </w:pPr>
            <w:r>
              <w:t xml:space="preserve">37 000,00</w:t>
            </w:r>
          </w:p>
        </w:tc>
        <w:tc>
          <w:tcPr/>
          <w:p>
            <w:pPr>
              <w:jc w:val="left"/>
            </w:pPr>
            <w:r>
              <w:t xml:space="preserve">Увеличение за счет поступивших доходов.</w:t>
            </w:r>
          </w:p>
        </w:tc>
      </w:tr>
    </w:tbl>
    <w:p/>
    <w:tbl>
      <w:tblPr>
        <w:tblStyle w:val="Table"/>
        <w:tblW w:type="auto" w:w="0"/>
        <w:tblLook w:firstRow="0" w:lastRow="0" w:firstColumn="0" w:lastColumn="0" w:noHBand="0" w:noVBand="0" w:val="0000"/>
      </w:tblPr>
      <w:tblGrid>
        <w:gridCol w:w="2640"/>
        <w:gridCol w:w="2640"/>
        <w:gridCol w:w="2640"/>
      </w:tblGrid>
      <w:tr>
        <w:tc>
          <w:tcPr/>
          <w:p>
            <w:pPr>
              <w:jc w:val="left"/>
            </w:pPr>
            <w:r>
              <w:t xml:space="preserve">Руководитель</w:t>
            </w:r>
          </w:p>
        </w:tc>
        <w:tc>
          <w:tcPr/>
          <w:p>
            <w:pPr>
              <w:pStyle w:val="Compact"/>
            </w:pPr>
          </w:p>
        </w:tc>
        <w:tc>
          <w:tcPr/>
          <w:p>
            <w:pPr>
              <w:jc w:val="left"/>
            </w:pPr>
            <w:r>
              <w:t xml:space="preserve">Орлова Светлана Анатольевна</w:t>
            </w:r>
          </w:p>
        </w:tc>
      </w:tr>
      <w:tr>
        <w:tc>
          <w:tcPr/>
          <w:p>
            <w:pPr>
              <w:pStyle w:val="Compact"/>
            </w:pPr>
          </w:p>
        </w:tc>
        <w:tc>
          <w:tcPr/>
          <w:p>
            <w:pPr>
              <w:jc w:val="left"/>
            </w:pPr>
            <w:r>
              <w:t xml:space="preserve">(подпись)</w:t>
            </w:r>
          </w:p>
        </w:tc>
        <w:tc>
          <w:tcPr/>
          <w:p>
            <w:pPr>
              <w:jc w:val="left"/>
            </w:pPr>
            <w:r>
              <w:t xml:space="preserve">(расшифровка подписи)</w:t>
            </w:r>
          </w:p>
        </w:tc>
      </w:tr>
      <w:tr>
        <w:tc>
          <w:tcPr>
            <w:gridSpan w:val="3"/>
          </w:tcPr>
          <w:p>
            <w:pPr>
              <w:pStyle w:val="Compact"/>
            </w:pPr>
          </w:p>
        </w:tc>
      </w:tr>
      <w:tr>
        <w:tc>
          <w:tcPr/>
          <w:p>
            <w:pPr>
              <w:jc w:val="left"/>
            </w:pPr>
            <w:r>
              <w:t xml:space="preserve">Руководитель планово-</w:t>
            </w:r>
          </w:p>
        </w:tc>
        <w:tc>
          <w:tcPr/>
          <w:p>
            <w:pPr>
              <w:pStyle w:val="Compact"/>
            </w:pPr>
          </w:p>
        </w:tc>
        <w:tc>
          <w:tcPr/>
          <w:p>
            <w:pPr>
              <w:jc w:val="left"/>
            </w:pPr>
            <w:r>
              <w:t xml:space="preserve">Козина Оксана Ивановна</w:t>
            </w:r>
          </w:p>
        </w:tc>
      </w:tr>
      <w:tr>
        <w:tc>
          <w:tcPr/>
          <w:p>
            <w:pPr>
              <w:jc w:val="left"/>
            </w:pPr>
            <w:r>
              <w:t xml:space="preserve">экономической службы</w:t>
            </w:r>
          </w:p>
        </w:tc>
        <w:tc>
          <w:tcPr/>
          <w:p>
            <w:pPr>
              <w:jc w:val="left"/>
            </w:pPr>
            <w:r>
              <w:t xml:space="preserve">(подпись)</w:t>
            </w:r>
          </w:p>
        </w:tc>
        <w:tc>
          <w:tcPr/>
          <w:p>
            <w:pPr>
              <w:jc w:val="left"/>
            </w:pPr>
            <w:r>
              <w:t xml:space="preserve">(расшифровка подписи)</w:t>
            </w:r>
          </w:p>
        </w:tc>
      </w:tr>
      <w:tr>
        <w:tc>
          <w:tcPr>
            <w:gridSpan w:val="3"/>
          </w:tcPr>
          <w:p>
            <w:pPr>
              <w:pStyle w:val="Compact"/>
            </w:pPr>
          </w:p>
        </w:tc>
      </w:tr>
      <w:tr>
        <w:tc>
          <w:tcPr/>
          <w:p>
            <w:pPr>
              <w:jc w:val="left"/>
            </w:pPr>
            <w:r>
              <w:t xml:space="preserve">Главный</w:t>
            </w:r>
          </w:p>
        </w:tc>
        <w:tc>
          <w:tcPr/>
          <w:p>
            <w:pPr>
              <w:pStyle w:val="Compact"/>
            </w:pPr>
          </w:p>
        </w:tc>
        <w:tc>
          <w:tcPr/>
          <w:p>
            <w:pPr>
              <w:jc w:val="left"/>
            </w:pPr>
            <w:r>
              <w:t xml:space="preserve">Васильева Ольга Александровна</w:t>
            </w:r>
          </w:p>
        </w:tc>
      </w:tr>
      <w:tr>
        <w:tc>
          <w:tcPr/>
          <w:p>
            <w:pPr>
              <w:jc w:val="left"/>
            </w:pPr>
            <w:r>
              <w:t xml:space="preserve">бухгалтер</w:t>
            </w:r>
          </w:p>
        </w:tc>
        <w:tc>
          <w:tcPr/>
          <w:p>
            <w:pPr>
              <w:jc w:val="left"/>
            </w:pPr>
            <w:r>
              <w:t xml:space="preserve">(подпись)</w:t>
            </w:r>
          </w:p>
        </w:tc>
        <w:tc>
          <w:tcPr/>
          <w:p>
            <w:pPr>
              <w:jc w:val="left"/>
            </w:pPr>
            <w:r>
              <w:t xml:space="preserve">(расшифровка подписи)</w:t>
            </w:r>
          </w:p>
        </w:tc>
      </w:tr>
    </w:tbl>
    <w:p>
      <w:pPr>
        <w:pStyle w:val="BodyText"/>
      </w:pPr>
      <w:bookmarkStart w:id="22" w:name="X472cf3ef901f6faed7b0ee9ea22641dec5e91ec"/>
      <w:bookmarkEnd w:id="22"/>
    </w:p>
    <w:p>
      <w:pPr>
        <w:pStyle w:val="BodyText"/>
      </w:pPr>
      <w:bookmarkStart w:id="23" w:name="Xe3acfc2d299fecaa09c1d43c58b036129b007b6"/>
      <w:bookmarkEnd w:id="23"/>
    </w:p>
    <w:p>
      <w:pPr>
        <w:pStyle w:val="BodyText"/>
      </w:pPr>
      <w:r>
        <w:br/>
      </w:r>
    </w:p>
    <w:p>
      <w:pPr>
        <w:pStyle w:val="BodyText"/>
      </w:pPr>
      <w:r>
        <w:t xml:space="preserve">Адрес страницы:</w:t>
      </w:r>
      <w:r>
        <w:t xml:space="preserve"> </w:t>
      </w:r>
      <w:hyperlink r:id="rId24">
        <w:r>
          <w:rPr>
            <w:rStyle w:val="Hyperlink"/>
          </w:rPr>
          <w:t xml:space="preserve">http://krasnoselsky.mos.ru/uprava/reports/detail/10094607.html</w:t>
        </w:r>
      </w:hyperlink>
    </w:p>
    <w:p>
      <w:pPr>
        <w:pStyle w:val="BodyText"/>
      </w:pPr>
      <w:hyperlink r:id="rId25">
        <w:r>
          <w:rPr>
            <w:rStyle w:val="Hyperlink"/>
          </w:rPr>
          <w:t xml:space="preserve">Управа Красносельского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krasnoselsky.mos.ru" TargetMode="External" /><Relationship Type="http://schemas.openxmlformats.org/officeDocument/2006/relationships/hyperlink" Id="rId24" Target="http://krasnoselsky.mos.ru/uprava/reports/detail/10094607.html" TargetMode="External" /></Relationships>
</file>

<file path=word/_rels/footnotes.xml.rels><?xml version="1.0" encoding="UTF-8"?><Relationships xmlns="http://schemas.openxmlformats.org/package/2006/relationships"><Relationship Type="http://schemas.openxmlformats.org/officeDocument/2006/relationships/hyperlink" Id="rId25" Target="http://krasnoselsky.mos.ru" TargetMode="External" /><Relationship Type="http://schemas.openxmlformats.org/officeDocument/2006/relationships/hyperlink" Id="rId24" Target="http://krasnoselsky.mos.ru/uprava/reports/detail/100946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2025-08-01T08:08:43Z</dcterms:created>
  <dcterms:modified xsi:type="dcterms:W3CDTF">2025-08-01T08:08:43Z</dcterms:modified>
</cp:coreProperties>
</file>

<file path=docProps/custom.xml><?xml version="1.0" encoding="utf-8"?>
<Properties xmlns="http://schemas.openxmlformats.org/officeDocument/2006/custom-properties" xmlns:vt="http://schemas.openxmlformats.org/officeDocument/2006/docPropsVTypes"/>
</file>