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27c782c2410f34a7d11cc7e00ed6b553213e"/>
    <w:p>
      <w:pPr>
        <w:pStyle w:val="Heading3"/>
      </w:pPr>
      <w:r>
        <w:t xml:space="preserve">Отчет об исполнении бюджета на 01 января 2021г.</w:t>
      </w:r>
    </w:p>
    <w:p>
      <w:pPr>
        <w:pStyle w:val="FirstParagraph"/>
      </w:pPr>
      <w:r>
        <w:t xml:space="preserve">09.07.2021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ДОХОДОВ БЮДЖЕТА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на 1 января 2021 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Главный распорядитель, распорядитель, получатель бюджетных средств,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доходов бюджета,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источников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финансирования дефицита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управа Красносельского района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Бюджет субъекта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Периодичность: месячная, квартальная, годовая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Единица измерения: руб.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1. Доходы бюджета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дохода по бюджетной классификации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Утвержденные бюджетные назначения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Доходы бюджета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96111302992020000130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96111302992020009130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 (прочие доходы от компенсации затрат бюджета города Москвы)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96111302992028009130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лицами (руководителями высших исполнительных органов государственной власти)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96111601205010000140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96111602010020000140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96111607090020000140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96111610122010000140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 (за исключением доходов, направляемых на формирование дорожного фонда города Москвы)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96111610122010001140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http://krasnoselsky.mos.ru/uprava/reports/detail/10094595.html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09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09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2025-04-28T01:09:53Z</dcterms:created>
  <dcterms:modified xsi:type="dcterms:W3CDTF">2025-04-28T01:09:53Z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