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c71fffe126475a32651ea86e07c1fcbf6d6dd"/>
    <w:p>
      <w:pPr>
        <w:pStyle w:val="Heading3"/>
      </w:pPr>
      <w:r>
        <w:t xml:space="preserve">Магазины и рестораны Москвы будут работать в обычном режиме на майских праздниках</w:t>
      </w:r>
    </w:p>
    <w:p>
      <w:pPr>
        <w:pStyle w:val="FirstParagraph"/>
      </w:pPr>
      <w:r>
        <w:t xml:space="preserve">04.05.2021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Предприятия торговли и общественного питания с 1 по 10 мая будут работать в обычном режиме.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Власти Москвы не собираются вводить ограничения на работу общественного питания и торговли. Предприниматели сами будут определять график в эти майские нерабочие и праздничные дни.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посещении общественных мест жителям необходимо использовать средства индивидуальной защиты и держать социальную дистанцию.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в майские праздники изменится график движения пригородных поездов. Корректировки коснутся и некоторых маршрутов, связывающих Москву с областными центрами соседних регионов.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Центры государственных услуг «Мои документы» будут работать в течение всех праздничных выходных, кроме 9 мая.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http://krasnoselsky.mos.ru/press-center/news/detail/9922899.html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99228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99228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2024-08-20T17:40:43Z</dcterms:created>
  <dcterms:modified xsi:type="dcterms:W3CDTF">2024-08-20T17:40:43Z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