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2878b74e189a139035c26d8819cf3e737c031"/>
    <w:p>
      <w:pPr>
        <w:pStyle w:val="Heading3"/>
      </w:pPr>
      <w:r>
        <w:t xml:space="preserve">Город выставил на продажу нежилое помещение в особняке XIX века в центре столицы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t xml:space="preserve">На городские торги выставлено нежилое помещение площадью 192,2 квадратного метра в Таганском районе по адресу: Яузская улица, дом 5. </w:t>
      </w:r>
    </w:p>
    <w:p>
      <w:pPr>
        <w:pStyle w:val="BodyText"/>
      </w:pPr>
      <w:r>
        <w:t xml:space="preserve">Здание, в котором предлагаются коммерческие площади, построено в 1880 году и является выявленным объектом культурного наследия.</w:t>
      </w:r>
    </w:p>
    <w:p>
      <w:pPr>
        <w:pStyle w:val="BodyText"/>
      </w:pPr>
      <w:r>
        <w:t xml:space="preserve">Помещение, предлагаемое инвесторам, расположено в пешей доступности от метро «Китай-город» в подвале исторического нежилого здания, которое обладает охранным статусом и поэтому все работы, проводимые в нем, осуществляются под контролем Мосгорнаследия.</w:t>
      </w:r>
    </w:p>
    <w:p>
      <w:pPr>
        <w:pStyle w:val="BodyText"/>
      </w:pPr>
      <w:r>
        <w:t xml:space="preserve">— Подвальное помещение расположено в здании в центре Москвы напротив высотки на Котельнической набережной и имеет выгодную цену с учетом предложенной площади почти 200 квадратных метров. Помещение находится в нежилом доме и имеет свободное назначение, поэтому будущий собственник сможет открыть здесь офис, магазин или кафе. Также здание свободно от обременений и оборудовано всеми необходимыми коммуникациями, – сказал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По словам руководителя Департамента города Москвы по конкурентной политике Ивана Щербакова, помещения для бизнеса в центре города всегда привлекательны для инвестиций.</w:t>
      </w:r>
    </w:p>
    <w:p>
      <w:pPr>
        <w:pStyle w:val="BodyText"/>
      </w:pPr>
      <w:r>
        <w:t xml:space="preserve">— По итогам первого квартала этого года конкуренция на торгах по продаже в ЦАО составляет порядка девять участников на лот. Всего с начала этого года предприниматели купили на городских торгах 79 нежилых помещений, из них 17 – в центре столицы, – добавил он.</w:t>
      </w:r>
    </w:p>
    <w:p>
      <w:pPr>
        <w:pStyle w:val="BodyText"/>
      </w:pPr>
      <w:r>
        <w:t xml:space="preserve">Заявки на участие в торгах по данному лоту принимаются до 7 мая 2021 года, аукцион состоится в электронной форме 18 мая. Начальная цена объекта – около 21,7 миллиона рублей.</w:t>
      </w:r>
    </w:p>
    <w:p>
      <w:pPr>
        <w:pStyle w:val="BodyText"/>
      </w:pPr>
      <w:r>
        <w:t xml:space="preserve">Ознакомиться с документацией и характеристиками других объектов на торгах, можно на Инвестиционном портале города Москвы в разделе «Продажа для бизнеса». Часть лотов доступна для просмотра в онлайн-режиме с помощью функции «360».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http://krasnoselsky.mos.ru/press-center/news/detail/9897387.html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897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897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2025-08-02T11:03:43Z</dcterms:created>
  <dcterms:modified xsi:type="dcterms:W3CDTF">2025-08-02T11:03:43Z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