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de3cb720a57b7a30d4313bc3bc6d84757486b"/>
    <w:p>
      <w:pPr>
        <w:pStyle w:val="Heading3"/>
      </w:pPr>
      <w:r>
        <w:t xml:space="preserve">Доходы за сутки спортивных центов столицы выросли на 3,3 процента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Доходы спортивных учреждений столицы увеличились на 3,3 процента в сравнении с прошлым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Москвы стали чаще посещать фитнес-залы, активно записываются в солярии и ходят в бани.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 Москвы в Правительстве Москвы по вопросам экономической политики и имущественно-земельных отношений Владимира Ефимова, за период с 1 февраля по 23 февраля уровень составил 29,3 миллиона рублей. Среднесуточный оборот спортивных учреждений города достиг 111,1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руководитель Департамента экономической политики и развития города Кирилл Пуртов, спрос москвичей на спортивный инвентарь в феврале тоже превысил докризисный уровень.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http://krasnoselsky.mos.ru/press-center/news/detail/9755979.html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55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55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2024-01-05T12:26:00Z</dcterms:created>
  <dcterms:modified xsi:type="dcterms:W3CDTF">2024-01-05T12:26:00Z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