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3b870034380afdda8698c3ccb059fd645ae32"/>
    <w:p>
      <w:pPr>
        <w:pStyle w:val="Heading3"/>
      </w:pPr>
      <w:r>
        <w:t xml:space="preserve">Горожане посетят более 70 мероприятий в рамках делового форума</w:t>
      </w:r>
    </w:p>
    <w:p>
      <w:pPr>
        <w:pStyle w:val="FirstParagraph"/>
      </w:pPr>
      <w:r>
        <w:t xml:space="preserve">22.05.2019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Московского урбанистического форума, который пройдет в столице 4 и 5 июня, для горожан организуют более 70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первый день участники поговорят о том, как комфортная городская среда может стать драйвером развития экономики. Помимо этого, гости обсудят, как сбалансировать политику в быстрорастущем мегаполисе и какой архитекторы видят Москву в будущем.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второй день на мероприятии затронут темы транспортной политики, туристических стратегий и повышения качества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участников форума организуют круглые столы, дискуссии, презентации, дебаты и ток-шоу, поделились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http://krasnoselsky.mos.ru/press-center/news/detail/8100491.html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00491.html" TargetMode="External" /><Relationship Type="http://schemas.openxmlformats.org/officeDocument/2006/relationships/hyperlink" Id="rId20" Target="https://www.mskagency.ru/materials/28914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00491.html" TargetMode="External" /><Relationship Type="http://schemas.openxmlformats.org/officeDocument/2006/relationships/hyperlink" Id="rId20" Target="https://www.mskagency.ru/materials/28914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2025-06-05T15:44:23Z</dcterms:created>
  <dcterms:modified xsi:type="dcterms:W3CDTF">2025-06-05T15:44:23Z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