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585970ace0c69d50ef9bce3ba851a861efa89"/>
    <w:p>
      <w:pPr>
        <w:pStyle w:val="Heading3"/>
      </w:pPr>
      <w:r>
        <w:t xml:space="preserve">Путеводители по городам Кубка конфедераций будут доступны на четырех языках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drawing>
          <wp:inline>
            <wp:extent cx="2926080" cy="12131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52/athletes_1846039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213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Путеводители для посетителей матчей Кубка конфедераций-2017 в разных городах издадут на четырех языках. Об этом сообщили 3 мая.</w:t>
      </w:r>
    </w:p>
    <w:p>
      <w:pPr>
        <w:pStyle w:val="BodyText"/>
      </w:pPr>
      <w:r>
        <w:t xml:space="preserve">Информацию о российских городах можно будет прочитать на русском, английском, испанском и китайском языках. Пункты выдачи расположат на специальных стойках железнодорожных и автовокзалов и в аэропортах Москвы, Санкт-Петербурга, Сочи и Казани.</w:t>
      </w:r>
    </w:p>
    <w:p>
      <w:pPr>
        <w:pStyle w:val="BodyText"/>
      </w:pPr>
      <w:r>
        <w:t xml:space="preserve">Чтобы выбрать самый лучший вариант информационного буклета для болельщиков, Ростуризм объявил конкурс. Исполнителю необходимо изготовить до 15 июня 30 тысяч путеводителей на иностранных языках и 10 тысяч на русском, передает </w:t>
      </w:r>
      <w:hyperlink r:id="rId23">
        <w:r>
          <w:rPr>
            <w:rStyle w:val="Hyperlink"/>
          </w:rPr>
          <w:t xml:space="preserve">Агентств</w:t>
        </w:r>
      </w:hyperlink>
      <w:r>
        <w:t xml:space="preserve">о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http://krasnoselsky.mos.ru/press-center/news/detail/5846764.html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846764.html" TargetMode="External" /><Relationship Type="http://schemas.openxmlformats.org/officeDocument/2006/relationships/hyperlink" Id="rId23" Target="http://www.mskagency.ru/materials/2663008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846764.html" TargetMode="External" /><Relationship Type="http://schemas.openxmlformats.org/officeDocument/2006/relationships/hyperlink" Id="rId23" Target="http://www.mskagency.ru/materials/2663008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2024-12-13T11:07:30Z</dcterms:created>
  <dcterms:modified xsi:type="dcterms:W3CDTF">2024-12-13T11:07:30Z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