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ceadf74dfa70cdb64e9f68e54b4038cee73233"/>
    <w:p>
      <w:pPr>
        <w:pStyle w:val="Heading3"/>
      </w:pPr>
      <w:r>
        <w:t xml:space="preserve">Городские власти проведут конкурс на реставрацию усадьбы Абрикосовых</w:t>
      </w:r>
    </w:p>
    <w:p>
      <w:pPr>
        <w:pStyle w:val="FirstParagraph"/>
      </w:pPr>
      <w:r>
        <w:t xml:space="preserve">21.02.2017</w:t>
      </w:r>
    </w:p>
    <w:p>
      <w:pPr>
        <w:pStyle w:val="BodyText"/>
      </w:pPr>
      <w:r>
        <w:drawing>
          <wp:inline>
            <wp:extent cx="5334000" cy="17762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066/usadba_174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762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 на выбор инвестора для проведения ремонтных работ усадьбы Абрикосовых, которая находится по адресу: Потаповский переулок, дом 6, стрение 1, проведет Департамент города Москвы по конкурентной политике. Об этом стало известно 16 февраля.</w:t>
      </w:r>
    </w:p>
    <w:p>
      <w:pPr>
        <w:pStyle w:val="BodyText"/>
      </w:pPr>
      <w:r>
        <w:t xml:space="preserve">Как отмечается в сообщении, опубликованном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Департамента города Москвы по конкурентной политике, одним из ключевых условий аукциона после подписания документов на аренду является проведение работ по капитальному ремонту здания победившей компанией.</w:t>
      </w:r>
    </w:p>
    <w:p>
      <w:pPr>
        <w:pStyle w:val="BodyText"/>
      </w:pPr>
      <w:r>
        <w:t xml:space="preserve">По договору, новый собственник должен провести комплекс работ по восстановлению усадьбы за пять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http://krasnoselsky.mos.ru/press-center/news/detail/5026282.html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5026282.html" TargetMode="External" /><Relationship Type="http://schemas.openxmlformats.org/officeDocument/2006/relationships/hyperlink" Id="rId23" Target="http://tender.mos.ru/presscenter/news/detail/4973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5026282.html" TargetMode="External" /><Relationship Type="http://schemas.openxmlformats.org/officeDocument/2006/relationships/hyperlink" Id="rId23" Target="http://tender.mos.ru/presscenter/news/detail/4973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2024-04-14T10:30:42Z</dcterms:created>
  <dcterms:modified xsi:type="dcterms:W3CDTF">2024-04-14T10:30:42Z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