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b39dce4330d1fcf5ed0f26b596241bfbc1064"/>
    <w:p>
      <w:pPr>
        <w:pStyle w:val="Heading3"/>
      </w:pPr>
      <w:r>
        <w:t xml:space="preserve">Предприниматели Красносельского района установят семиметровые елки к 14 декабря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34/oblozhka1-_-ivants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власти определили концепцию новогоднего оформления столицы. Список ключевых пунктов ранее утвердили на заседании Координационного совета при Правительстве Москвы по праздничному и тематическому оформлению города.</w:t>
      </w:r>
    </w:p>
    <w:p>
      <w:pPr>
        <w:pStyle w:val="BodyText"/>
      </w:pPr>
      <w:r>
        <w:t xml:space="preserve">Документ предусматривает праздничное оформление витрин, фасадов зданий и прилегающих территорий.</w:t>
      </w:r>
    </w:p>
    <w:p>
      <w:pPr>
        <w:pStyle w:val="BodyText"/>
      </w:pPr>
      <w:r>
        <w:t xml:space="preserve">Правительство Москвы в рамках заседания также утвердило сроки готовности праздничного оформления для предприятий потребительского рынка и услуг города.</w:t>
      </w:r>
    </w:p>
    <w:p>
      <w:pPr>
        <w:pStyle w:val="BodyText"/>
      </w:pPr>
      <w:r>
        <w:t xml:space="preserve">Так, к 30 ноября этого года должно быть закончено новогоднее оформление витрин и фасадов зданий предприятий торговли и услуг. К 14 декабря рабочие установят все искусственные новогодние елки. До 20 декабря в городе появятся объемные декоративные конструкции. Также к 31 декабря до 18.00 необходимо украсить государственными флагами Российской Федерации и флагами Москвы жилые дома и административные здания.</w:t>
      </w:r>
    </w:p>
    <w:p>
      <w:pPr>
        <w:pStyle w:val="BodyText"/>
      </w:pPr>
      <w:r>
        <w:t xml:space="preserve">Далее ко 2 января 2016 года в столице должны быть развешаны плакаты и элементы украшения с рождественской символикой. 6 января 2016 года до 9.00 необходимо вывесить по городу государственные флаги Российской Федерации и флаги Москвы, а с 20 января 2016 года - элементы оформления с новогодней и рождественской символикой. В обозначенный период также требуется установить искусственные новогодние и рождественские елки, световые фонтаны, объемные декоративные конструкции и другие элементы новогоднего оформления.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http://krasnoselsky.mos.ru/press-center/news/detail/2320794.html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20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20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2023-07-26T07:54:36Z</dcterms:created>
  <dcterms:modified xsi:type="dcterms:W3CDTF">2023-07-26T07:54:36Z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