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5da0e9904a2c7213591a88a5113190575953f"/>
    <w:p>
      <w:pPr>
        <w:pStyle w:val="Heading3"/>
      </w:pPr>
      <w:r>
        <w:t xml:space="preserve">В Красносельском районе проверили торговые киоски и ларьки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t xml:space="preserve">Нестационарные торговые объекты (киоски, ларьки и палатки) были проверены сотрудниками сектора потребительского рынка и услуг управы Красносельского района.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побывали на 66 адресах, из них на 37 действующих объектах и на 29 территориях, где был произведен демонтаж палаток. Ни одного нарушения не выявлено. Некоторым собственникам даны рекомендации: необходимо помыть и покрасить торговые точки.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Территории 14 снесенных объектов благоустроены – озеленены, дорожки покрыты асфальтом или плиткой. Еще восемь бывших торговых точек нуждаются в проведении работ, которые будут произведены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http://krasnoselsky.mos.ru/press-center/news/detail/1695003.html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95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95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2024-12-11T03:49:09Z</dcterms:created>
  <dcterms:modified xsi:type="dcterms:W3CDTF">2024-12-11T03:49:09Z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