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5bfd606dd7257bb3770c2afcda309d6107e5e"/>
    <w:p>
      <w:pPr>
        <w:pStyle w:val="Heading3"/>
      </w:pPr>
      <w:r>
        <w:t xml:space="preserve">Постановление № 428-ПП от 2 июля 2013 г. О порядке установки ограждений на придомовых территориях в городе Москве</w:t>
      </w:r>
    </w:p>
    <w:p>
      <w:pPr>
        <w:pStyle w:val="FirstParagraph"/>
      </w:pPr>
      <w:r>
        <w:t xml:space="preserve">11.02.2014</w:t>
      </w:r>
    </w:p>
    <w:p>
      <w:pPr>
        <w:pStyle w:val="BodyText"/>
      </w:pPr>
      <w:r>
        <w:rPr>
          <w:bCs/>
          <w:b/>
        </w:rPr>
        <w:t xml:space="preserve">ПРАВИТЕЛЬСТВО МОСКВЫ</w:t>
      </w:r>
    </w:p>
    <w:p>
      <w:pPr>
        <w:pStyle w:val="BodyText"/>
      </w:pPr>
      <w:r>
        <w:rPr>
          <w:bCs/>
          <w:b/>
        </w:rPr>
        <w:t xml:space="preserve">ПОСТАНОВЛЕНИЕ</w:t>
      </w:r>
    </w:p>
    <w:p>
      <w:pPr>
        <w:pStyle w:val="BodyText"/>
      </w:pPr>
      <w:r>
        <w:rPr>
          <w:bCs/>
          <w:b/>
        </w:rPr>
        <w:t xml:space="preserve">от 2 июля 2013 г. N 428-ПП</w:t>
      </w:r>
    </w:p>
    <w:p>
      <w:pPr>
        <w:pStyle w:val="BodyText"/>
      </w:pPr>
      <w:r>
        <w:rPr>
          <w:bCs/>
          <w:b/>
        </w:rPr>
        <w:t xml:space="preserve">О ПОРЯДКЕ УСТАНОВКИ ОГРАЖДЕНИЙ НА ПРИДОМОВЫХ ТЕРРИТОРИЯХ</w:t>
      </w:r>
    </w:p>
    <w:p>
      <w:pPr>
        <w:pStyle w:val="BodyText"/>
      </w:pPr>
      <w:r>
        <w:rPr>
          <w:bCs/>
          <w:b/>
        </w:rPr>
        <w:t xml:space="preserve">В ГОРОДЕ МОСКВЕ</w:t>
      </w:r>
    </w:p>
    <w:p>
      <w:pPr>
        <w:pStyle w:val="BodyText"/>
      </w:pPr>
      <w:r>
        <w:t xml:space="preserve">В целях повышения уровня благоустройства придомовых территорий в городе Москве, а также обеспечения комфортной городской среды проживания Правительство Москвы постановляет:</w:t>
      </w:r>
    </w:p>
    <w:p>
      <w:pPr>
        <w:pStyle w:val="BodyText"/>
      </w:pPr>
      <w:r>
        <w:t xml:space="preserve">1. Утвердить Порядок установки ограждений на придомовых территориях в городе Москве (приложение).</w:t>
      </w:r>
    </w:p>
    <w:p>
      <w:pPr>
        <w:pStyle w:val="BodyText"/>
      </w:pPr>
      <w:r>
        <w:t xml:space="preserve">2. Контроль за выполнением настоящего постановления возложить на исполняющего обязанности заместителя Мэра Москвы в Правительстве Москвы по вопросам имущественно-земельных отношений Сергунину Н.А., исполняющего обязанности заместителя Мэра Москвы в Правительстве Москвы по вопросам жилищно-коммунального хозяйства и благоустройства Бирюкова П.П.</w:t>
      </w:r>
    </w:p>
    <w:p>
      <w:pPr>
        <w:pStyle w:val="BodyText"/>
      </w:pPr>
      <w:r>
        <w:t xml:space="preserve">Временно исполняющий</w:t>
      </w:r>
    </w:p>
    <w:p>
      <w:pPr>
        <w:pStyle w:val="BodyText"/>
      </w:pPr>
      <w:r>
        <w:t xml:space="preserve">обязанности Мэра Москвы</w:t>
      </w:r>
    </w:p>
    <w:p>
      <w:pPr>
        <w:pStyle w:val="BodyText"/>
      </w:pPr>
      <w:r>
        <w:t xml:space="preserve">С.С. Собянин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постановлению Правительства</w:t>
      </w:r>
    </w:p>
    <w:p>
      <w:pPr>
        <w:pStyle w:val="BodyText"/>
      </w:pPr>
      <w:r>
        <w:t xml:space="preserve">Москвы</w:t>
      </w:r>
    </w:p>
    <w:p>
      <w:pPr>
        <w:pStyle w:val="BodyText"/>
      </w:pPr>
      <w:r>
        <w:t xml:space="preserve">от 2 июля 2013 г. N 428-ПП</w:t>
      </w:r>
    </w:p>
    <w:p>
      <w:pPr>
        <w:pStyle w:val="BodyText"/>
      </w:pPr>
      <w:r>
        <w:rPr>
          <w:bCs/>
          <w:b/>
        </w:rPr>
        <w:t xml:space="preserve">ПОРЯДОК</w:t>
      </w:r>
    </w:p>
    <w:p>
      <w:pPr>
        <w:pStyle w:val="BodyText"/>
      </w:pPr>
      <w:r>
        <w:rPr>
          <w:bCs/>
          <w:b/>
        </w:rPr>
        <w:t xml:space="preserve">УСТАНОВКИ ОГРАЖДЕНИЙ НА ПРИДОМОВЫХ ТЕРРИТОРИЯХ</w:t>
      </w:r>
    </w:p>
    <w:p>
      <w:pPr>
        <w:pStyle w:val="BodyText"/>
      </w:pPr>
      <w:r>
        <w:rPr>
          <w:bCs/>
          <w:b/>
        </w:rPr>
        <w:t xml:space="preserve">В ГОРОДЕ МОСКВЕ</w:t>
      </w:r>
    </w:p>
    <w:p>
      <w:pPr>
        <w:pStyle w:val="BodyText"/>
      </w:pPr>
      <w:r>
        <w:t xml:space="preserve">1. Настоящий Порядок регулирует правоотношения, связанные с установкой ограждений на придомовых территориях многоквартирных домов в городе Москве и их демонтажем.</w:t>
      </w:r>
    </w:p>
    <w:p>
      <w:pPr>
        <w:pStyle w:val="BodyText"/>
      </w:pPr>
      <w:r>
        <w:t xml:space="preserve">2. Для целей настоящего Порядка под ограждениями понимаются устройства регулирования въезда и (или) выезда на придомовую территорию транспортных средств (далее - ограждающее устройство).</w:t>
      </w:r>
    </w:p>
    <w:p>
      <w:pPr>
        <w:pStyle w:val="BodyText"/>
      </w:pPr>
      <w:r>
        <w:t xml:space="preserve">3. Установка ограждающих устройств осуществляется по решению собственников помещений в многоквартирном доме, принятому на общем собрании таких собственников помещений в многоквартирном доме.</w:t>
      </w:r>
    </w:p>
    <w:p>
      <w:pPr>
        <w:pStyle w:val="BodyText"/>
      </w:pPr>
      <w:r>
        <w:t xml:space="preserve">4. В случае, если ограждающее устройство устанавливается для регулирования въезда и (или) выезда транспортных средств на придомовые территории двух и более многоквартирных домов,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домов.</w:t>
      </w:r>
    </w:p>
    <w:p>
      <w:pPr>
        <w:pStyle w:val="BodyText"/>
      </w:pPr>
      <w:r>
        <w:t xml:space="preserve">5. В решении общего собрания указываются сведения о лице, уполномоченном на представление интересов собственников помещений в многоквартирном доме по вопросам, связанным с установкой ограждающих устройств и их демонтажем (далее - уполномоченное собственниками лицо).</w:t>
      </w:r>
    </w:p>
    <w:p>
      <w:pPr>
        <w:pStyle w:val="BodyText"/>
      </w:pPr>
      <w:r>
        <w:t xml:space="preserve">6. Въезд на придомовую территорию транспортных средств собственников помещений в многоквартирном доме и иных лиц осуществляется в порядке, установленном общим собранием собственников помещений в многоквартирном доме.</w:t>
      </w:r>
    </w:p>
    <w:p>
      <w:pPr>
        <w:pStyle w:val="BodyText"/>
      </w:pPr>
      <w:r>
        <w:t xml:space="preserve">7. Решение общего собрания собственников помещений в многоквартирном доме с приложением проекта размещения ограждающего устройства, в котором указывается место размещения, тип, размер, внешний вид ограждающего устройства, направляется уполномоченным собственниками лицом для согласования в совет депутатов муниципального округа, на территории которого планируется размещение соответствующего ограждающего устройства (далее - совет депутатов).</w:t>
      </w:r>
    </w:p>
    <w:p>
      <w:pPr>
        <w:pStyle w:val="BodyText"/>
      </w:pPr>
      <w:r>
        <w:t xml:space="preserve">8. Решение о согласовании установки ограждающего устройства либо об отказе в согласовании принимается советом депутатов в срок не позднее 30 дней со дня поступления документов (п. 7).</w:t>
      </w:r>
    </w:p>
    <w:p>
      <w:pPr>
        <w:pStyle w:val="BodyText"/>
      </w:pPr>
      <w:r>
        <w:t xml:space="preserve">9. Основаниями для отказа в согласовании советом депутатов установки ограждающего устройства являются:</w:t>
      </w:r>
    </w:p>
    <w:p>
      <w:pPr>
        <w:pStyle w:val="BodyText"/>
      </w:pPr>
      <w:r>
        <w:t xml:space="preserve">9.1. Несоблюдение требований по обеспечению круглосуточного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служб.</w:t>
      </w:r>
    </w:p>
    <w:p>
      <w:pPr>
        <w:pStyle w:val="BodyText"/>
      </w:pPr>
      <w:r>
        <w:t xml:space="preserve">9.2. Создание ограждающим устройством препятствий или ограничений проходу пешеходов и (или) проезду транспортных средств на территории общего пользования, определяемые в соответствии с законодательством Российской Федерации о градостроительной деятельности (далее - территории общего пользования).</w:t>
      </w:r>
    </w:p>
    <w:p>
      <w:pPr>
        <w:pStyle w:val="BodyText"/>
      </w:pPr>
      <w:r>
        <w:t xml:space="preserve">10. Решение совета депутатов о согласовании либо отказе в согласовании установки ограждающего устройства направляется уполномоченному собственниками лицу не позднее 5 рабочих дней с момента его принятия.</w:t>
      </w:r>
    </w:p>
    <w:p>
      <w:pPr>
        <w:pStyle w:val="BodyText"/>
      </w:pPr>
      <w:r>
        <w:t xml:space="preserve">11. Установка и содержание ограждающих устройств осуществляется за счет собственных средств собственников помещений в многоквартирном доме.</w:t>
      </w:r>
    </w:p>
    <w:p>
      <w:pPr>
        <w:pStyle w:val="BodyText"/>
      </w:pPr>
      <w:r>
        <w:t xml:space="preserve">12.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служб.</w:t>
      </w:r>
    </w:p>
    <w:p>
      <w:pPr>
        <w:pStyle w:val="BodyText"/>
      </w:pPr>
      <w:r>
        <w:t xml:space="preserve">13. Запрещается установка и эксплуатация ограждающих устройств, препятствующих или ограничивающих проход пешеходов и проезд транспортных средств на территории общего пользования.</w:t>
      </w:r>
    </w:p>
    <w:p>
      <w:pPr>
        <w:pStyle w:val="BodyText"/>
      </w:pPr>
      <w:r>
        <w:t xml:space="preserve">14.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(далее - демонтаж) в порядке и на условиях, аналогичных порядку, установленному для освобождения земельных участков от незаконно размещенных на них объектов, не являющихся объектами капитального строительства.</w:t>
      </w:r>
    </w:p>
    <w:p>
      <w:pPr>
        <w:pStyle w:val="BodyText"/>
      </w:pPr>
      <w:r>
        <w:t xml:space="preserve">15. Ограждающие устройства демонтируются в случае, если они препятствуют проведению работ по благоустройству территории, строительству (реконструкции) и (или) капитальному ремонту объектов капитального строительства, осуществляемых за счет средств бюджета города Москвы, при условии компенсации затрат собственников помещений в многоквартирном доме на приобретение и установку такого ограждающего устройства, определяемых на основании отчета независимой оценки.</w:t>
      </w:r>
    </w:p>
    <w:p>
      <w:pPr>
        <w:pStyle w:val="BodyText"/>
      </w:pPr>
      <w:r>
        <w:t xml:space="preserve">16. Выплата компенсации (п. 15) производится государственным заказчиком работ по благоустройству территории или государственным заказчиком работ по строительству (реконструкции) и (или) капитальному ремонту объектов капитального строительства за счет средств бюджета города Москвы, выделенных на проведение указанных работ (далее - государственный заказчик), на основании документов (п. 18).</w:t>
      </w:r>
    </w:p>
    <w:p>
      <w:pPr>
        <w:pStyle w:val="BodyText"/>
      </w:pPr>
      <w:r>
        <w:t xml:space="preserve">17. В случаях, предусмотренных пунктом 15 настоящего Порядка, государственный заказчик обеспечивает размещение в средствах массовой информации, на официальных сайтах государственного заказчика, префектуры административного округа города Москвы и управы района города Москвы в информационно-телекоммуникационной сети Интернет, досках объявлений префектуры административного округа города Москвы и управы района города Москвы, а также непосредственно на ограждающих устройствах следующей информации:</w:t>
      </w:r>
    </w:p>
    <w:p>
      <w:pPr>
        <w:pStyle w:val="BodyText"/>
      </w:pPr>
      <w:r>
        <w:t xml:space="preserve">17.1. О дате проведения работ по демонтажу ограждающего устройства.</w:t>
      </w:r>
    </w:p>
    <w:p>
      <w:pPr>
        <w:pStyle w:val="BodyText"/>
      </w:pPr>
      <w:r>
        <w:t xml:space="preserve">17.2. О месте, сроке предоставления и перечне документов, представляемых государственному заказчику в целях выплаты компенсации, предусмотренной пунктом 14 настоящего Порядка.</w:t>
      </w:r>
    </w:p>
    <w:p>
      <w:pPr>
        <w:pStyle w:val="BodyText"/>
      </w:pPr>
      <w:r>
        <w:t xml:space="preserve">18. В качестве документов, являющихся основанием для выплаты компенсации, уполномоченным собственниками лицом представляются:</w:t>
      </w:r>
    </w:p>
    <w:p>
      <w:pPr>
        <w:pStyle w:val="BodyText"/>
      </w:pPr>
      <w:r>
        <w:t xml:space="preserve">18.1. Решение общего собрания собственников помещений в многоквартирном доме об установке ограждающего устройства, согласованное в соответствии с пунктом 6 настоящего Порядка с советом депутатов.</w:t>
      </w:r>
    </w:p>
    <w:p>
      <w:pPr>
        <w:pStyle w:val="BodyText"/>
      </w:pPr>
      <w:r>
        <w:t xml:space="preserve">18.2. Документы, подтверждающие факт приобретения и (или) установки ограждающего устройства.</w:t>
      </w:r>
    </w:p>
    <w:p>
      <w:pPr>
        <w:pStyle w:val="BodyText"/>
      </w:pPr>
      <w:r>
        <w:t xml:space="preserve">18.3.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устройства.</w:t>
      </w:r>
    </w:p>
    <w:p>
      <w:pPr>
        <w:pStyle w:val="BodyText"/>
      </w:pPr>
      <w:r>
        <w:t xml:space="preserve">19. Государственный заказчик:</w:t>
      </w:r>
    </w:p>
    <w:p>
      <w:pPr>
        <w:pStyle w:val="BodyText"/>
      </w:pPr>
      <w:r>
        <w:t xml:space="preserve">19.1. Обеспечивает проведение независимой оценки стоимости подлежащего демонтажу ограждающего устройства.</w:t>
      </w:r>
    </w:p>
    <w:p>
      <w:pPr>
        <w:pStyle w:val="BodyText"/>
      </w:pPr>
      <w:r>
        <w:t xml:space="preserve">19.2. Осуществляет перечисление на банковский счет (п. 18.3) денежных средств в качестве компенсации за демонтаж ограждающего устройства в размере, определенном в отчете об оценке подлежащего демонтажу ограждающего устройства.</w:t>
      </w:r>
    </w:p>
    <w:p>
      <w:pPr>
        <w:pStyle w:val="BodyText"/>
      </w:pPr>
      <w:r>
        <w:t xml:space="preserve">20. Размер денежной компенсации, определенный на основании отчета об оценке, может быть обжалован собственниками помещений в многоквартирном доме в соответствии с законодательством Российской Федерации, в том числе в судебном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http://krasnoselsky.mos.ru/press-center/news/detail/1678688.html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78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78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2023-12-29T11:38:40Z</dcterms:created>
  <dcterms:modified xsi:type="dcterms:W3CDTF">2023-12-29T11:38:40Z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