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1ce377a5466c2e269cb55fda3112a9b255ac06e"/>
    <w:p>
      <w:pPr>
        <w:pStyle w:val="Heading3"/>
      </w:pPr>
      <w:r>
        <w:t xml:space="preserve">Торговый киоск нового образца установили на Красносельской улице</w:t>
      </w:r>
    </w:p>
    <w:p>
      <w:pPr>
        <w:pStyle w:val="FirstParagraph"/>
      </w:pPr>
      <w:r>
        <w:t xml:space="preserve">12.03.2015</w:t>
      </w:r>
    </w:p>
    <w:p>
      <w:pPr>
        <w:pStyle w:val="BodyText"/>
      </w:pPr>
      <w:r>
        <w:t xml:space="preserve">Киоск нового образца со специализацией «Мороженое» появился на ул. Верхняя Красносельская, д.15-17. Он стал одним из первых восьми модулей подобного типа, которые должны быть установлены в Центральном округе. Киоск оборудован всем необходимым, начиная от холодильного оборудования и заканчивая подключением к электросетям.</w:t>
      </w:r>
    </w:p>
    <w:p>
      <w:pPr>
        <w:pStyle w:val="BodyText"/>
      </w:pPr>
      <w:r>
        <w:t xml:space="preserve">В аукционе могут участвовать как частные предприниматели, так и малый и крупный бизнес. С условиями конкурса можно ознакомиться на портале столичного Департамента по конкурентной политике.</w:t>
      </w:r>
    </w:p>
    <w:p>
      <w:pPr>
        <w:pStyle w:val="BodyText"/>
      </w:pPr>
      <w:r>
        <w:t xml:space="preserve">Напомним, в столице будет произведена полная замена торговых ларьков на киоски нового образца. </w:t>
      </w:r>
      <w:r>
        <w:t xml:space="preserve">Демонтироваться будут лишь те палатки, у владельцев которых истек договор аренды земли.</w:t>
      </w:r>
      <w:r>
        <w:t xml:space="preserve">Замена будет осуществлена за счет города. Киоски будут сдаваться предпринимателям в аренду на пять лет. </w:t>
      </w:r>
    </w:p>
    <w:p>
      <w:pPr>
        <w:pStyle w:val="BodyText"/>
      </w:pPr>
      <w:r>
        <w:t xml:space="preserve">В ЦАО планируется установить 50 киосков, всего к маю в столице должны появиться 700 новых киосков.</w:t>
      </w:r>
    </w:p>
    <w:p>
      <w:pPr>
        <w:pStyle w:val="BodyText"/>
      </w:pPr>
      <w:r>
        <w:drawing>
          <wp:inline>
            <wp:extent cx="5334000" cy="3964764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krasnoselsky.mos.ru/www/upload/medialibrary/da8/kiosk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96476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http://krasnoselsky.mos.ru/press-center/news/detail/1649830.html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Красносельского района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krasnoselsky.mos.ru" TargetMode="External" /><Relationship Type="http://schemas.openxmlformats.org/officeDocument/2006/relationships/hyperlink" Id="rId23" Target="http://krasnoselsky.mos.ru/press-center/news/detail/164983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krasnoselsky.mos.ru" TargetMode="External" /><Relationship Type="http://schemas.openxmlformats.org/officeDocument/2006/relationships/hyperlink" Id="rId23" Target="http://krasnoselsky.mos.ru/press-center/news/detail/164983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2023-07-26T11:06:19Z</dcterms:created>
  <dcterms:modified xsi:type="dcterms:W3CDTF">2023-07-26T11:06:19Z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