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7780674eb99da40015491391bde63b92db13f"/>
    <w:p>
      <w:pPr>
        <w:pStyle w:val="Heading3"/>
      </w:pPr>
      <w:r>
        <w:t xml:space="preserve">Глава управы приняла участие в заседание Комиссии, занимающейся предоставлением адресной социальной помощи нуждающимся жителям района.</w:t>
      </w:r>
    </w:p>
    <w:p>
      <w:pPr>
        <w:pStyle w:val="FirstParagraph"/>
      </w:pPr>
      <w:r>
        <w:t xml:space="preserve">12.04.2024</w:t>
      </w:r>
    </w:p>
    <w:p>
      <w:pPr>
        <w:pStyle w:val="BodyText"/>
      </w:pPr>
      <w:r>
        <w:t xml:space="preserve">В управе Красносельского района состоялось заседание Комиссии, занимающейся предоставлением адресной социальной помощи нуждающимся жителям района. На повестке дня было рассмотрение документов и заявлений от местных жителей, обратившихся в управу района с запросом о признании их нуждающимися в адресной социальной помощи в форме материальной поддержки в связи с внезапными финансовыми обременениями.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http://krasnoselsky.mos.ru/press-center/news/detail/12309835.html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23098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23098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2025-08-05T15:53:40Z</dcterms:created>
  <dcterms:modified xsi:type="dcterms:W3CDTF">2025-08-05T15:53:40Z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