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b0155bda89bea5d5455b4273f0552276edecd6"/>
    <w:p>
      <w:pPr>
        <w:pStyle w:val="Heading3"/>
      </w:pPr>
      <w:r>
        <w:t xml:space="preserve">Управлением Роспотребнадзора вынесены решения о возобновлении действий деклараций о соответствии ООО «Керван РС»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drawing>
          <wp:inline>
            <wp:extent cx="5334000" cy="75476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09.08.2023_01-8444_23%20ООО%20КЕРВАН%20РС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6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762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09.08.2023_01-8444_23%20ООО%20КЕРВАН%20РС-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6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http://krasnoselsky.mos.ru/press-center/news/detail/11789275.html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news/detail/11789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news/detail/11789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2025-08-05T15:53:45Z</dcterms:created>
  <dcterms:modified xsi:type="dcterms:W3CDTF">2025-08-05T15:53:45Z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