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ифнс-россии-8-по-г.москве-информирует."/>
    <w:p>
      <w:pPr>
        <w:pStyle w:val="Heading3"/>
      </w:pPr>
      <w:r>
        <w:t xml:space="preserve">ИФНС России № 8 по г.Москве информирует.</w:t>
      </w:r>
    </w:p>
    <w:p>
      <w:pPr>
        <w:pStyle w:val="FirstParagraph"/>
      </w:pPr>
      <w:r>
        <w:t xml:space="preserve">17.10.2024</w:t>
      </w:r>
    </w:p>
    <w:p>
      <w:pPr>
        <w:pStyle w:val="BodyText"/>
      </w:pPr>
      <w:r>
        <w:rPr>
          <w:bCs/>
          <w:b/>
        </w:rPr>
        <w:t xml:space="preserve">Налоговое уведомление и как его исполнить</w:t>
      </w:r>
    </w:p>
    <w:p>
      <w:pPr>
        <w:pStyle w:val="BodyText"/>
      </w:pPr>
      <w:r>
        <w:t xml:space="preserve">Обязанность по ежегодному исчислению налогов, подлежащих уплате физическими лицами в отношении объектов недвижимого имущества, транспортных средств, возложена на налоговые органы (пункт 2 статьи 52 Налогового кодекса Российской Федерации).</w:t>
      </w:r>
    </w:p>
    <w:p>
      <w:pPr>
        <w:pStyle w:val="BodyText"/>
      </w:pPr>
      <w:r>
        <w:t xml:space="preserve">В связи с этим, не позднее 30 дней до наступления срока уплаты транспортного налога, земельного налога, налога на имущество физических лиц налоговые органы направляют налогоплательщикам налоговые уведомление для уплаты.</w:t>
      </w:r>
    </w:p>
    <w:p>
      <w:pPr>
        <w:pStyle w:val="BodyText"/>
      </w:pPr>
      <w:r>
        <w:t xml:space="preserve">Форма налогового уведомления утверждена приказом ФНС России от 27.09.2022 № ЕД-7-21/866@ и включает сумму налога, подлежащую уплате, сведения об объекте налогообложения, налоговой базе, сроке уплаты налога, а также сведения, необходимые для перечисления налога в качестве единого налогового платежа в бюджетную систему Российской Федерации (QR-код, штрих-код, УИН, банковские реквизиты платежа).</w:t>
      </w:r>
    </w:p>
    <w:p>
      <w:pPr>
        <w:pStyle w:val="BodyText"/>
      </w:pPr>
      <w:r>
        <w:t xml:space="preserve">Налоговое уведомление может быть направлено налогоплательщику:</w:t>
      </w:r>
    </w:p>
    <w:p>
      <w:pPr>
        <w:pStyle w:val="BodyText"/>
      </w:pPr>
      <w:r>
        <w:t xml:space="preserve">• по почте заказным письмом и считается полученным по истечении шести дней с даты направления заказного письма;</w:t>
      </w:r>
    </w:p>
    <w:p>
      <w:pPr>
        <w:pStyle w:val="BodyText"/>
      </w:pPr>
      <w:r>
        <w:t xml:space="preserve">• передано в электронной форме через личный кабинет налогоплательщика, личный кабинет на едином портале государственных и муниципальных услуг.</w:t>
      </w:r>
    </w:p>
    <w:p>
      <w:pPr>
        <w:pStyle w:val="BodyText"/>
      </w:pPr>
      <w:r>
        <w:t xml:space="preserve">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w:t>
      </w:r>
    </w:p>
    <w:p>
      <w:pPr>
        <w:pStyle w:val="BodyText"/>
      </w:pPr>
      <w:r>
        <w:t xml:space="preserve">Налогоплательщик (его</w:t>
      </w:r>
      <w:r>
        <w:t xml:space="preserve"> </w:t>
      </w:r>
      <w:hyperlink r:id="rId20">
        <w:r>
          <w:rPr>
            <w:rStyle w:val="Hyperlink"/>
          </w:rPr>
          <w:t xml:space="preserve">законный</w:t>
        </w:r>
      </w:hyperlink>
      <w:r>
        <w:t xml:space="preserve"> </w:t>
      </w:r>
      <w:r>
        <w:t xml:space="preserve">или уполномоченный представитель)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(далее – МФЦ) на основании заявления о выдаче налогового уведомления. Налоговое уведомление передается налогоплательщику (его законному или уполномоченному представителю либо через МФЦ) в срок не позднее пяти дней со дня получения налоговым органом заявления о выдаче налогового уведомления (форма заявления утверждена приказом ФНС России от 20.10.2022 № ЕД-7-21/947@).</w:t>
      </w:r>
    </w:p>
    <w:p>
      <w:pPr>
        <w:pStyle w:val="BodyText"/>
      </w:pPr>
      <w:r>
        <w:t xml:space="preserve">Налоговое уведомление за налоговый период 2023 года должно быть исполнено, налоги оплачены не позднее 02.12.2024.</w:t>
      </w:r>
    </w:p>
    <w:p>
      <w:pPr>
        <w:pStyle w:val="BodyText"/>
      </w:pPr>
      <w:r>
        <w:br/>
      </w:r>
    </w:p>
    <w:p>
      <w:pPr>
        <w:pStyle w:val="BodyText"/>
      </w:pPr>
      <w:r>
        <w:rPr>
          <w:bCs/>
          <w:b/>
        </w:rPr>
        <w:t xml:space="preserve">Причины изменений сумм налогов на имущество в 2024 году</w:t>
      </w:r>
    </w:p>
    <w:p>
      <w:pPr>
        <w:pStyle w:val="BodyText"/>
      </w:pPr>
      <w:r>
        <w:t xml:space="preserve">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налоговом органе или обратившись в контакт-центр ФНС России.</w:t>
      </w:r>
    </w:p>
    <w:p>
      <w:pPr>
        <w:pStyle w:val="BodyText"/>
      </w:pPr>
      <w:r>
        <w:t xml:space="preserve">Существуют и общие основания для изменения налоговой нагрузки.</w:t>
      </w:r>
    </w:p>
    <w:p>
      <w:pPr>
        <w:pStyle w:val="BodyText"/>
      </w:pPr>
      <w:r>
        <w:rPr>
          <w:u w:val="single"/>
          <w:bCs/>
          <w:b/>
        </w:rPr>
        <w:t xml:space="preserve">Транспортный налог.</w:t>
      </w:r>
    </w:p>
    <w:p>
      <w:pPr>
        <w:pStyle w:val="BodyText"/>
      </w:pPr>
      <w:r>
        <w:t xml:space="preserve">Рост налога может обуславливаться следующими причинами:</w:t>
      </w:r>
    </w:p>
    <w:p>
      <w:pPr>
        <w:pStyle w:val="BodyText"/>
      </w:pPr>
      <w:r>
        <w:t xml:space="preserve">1) изменение налоговых ставок и (или) отмена льгот, полномочия по установлению которых относятся к компетенции субъектов РФ.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1">
        <w:r>
          <w:rPr>
            <w:rStyle w:val="Hyperlink"/>
          </w:rPr>
          <w:t xml:space="preserve">https://www.nalog.ru/rn77/service/tax/</w:t>
        </w:r>
      </w:hyperlink>
      <w:r>
        <w:t xml:space="preserve">);</w:t>
      </w:r>
    </w:p>
    <w:p>
      <w:pPr>
        <w:pStyle w:val="BodyText"/>
      </w:pPr>
      <w:r>
        <w:t xml:space="preserve">2) применение повышающих коэффициентов при расчете налога за легковые автомашины средней стоимостью от 10 млн. руб. согласно размещённому на сайте Минпромторга России Перечню легковых автомобилей средней стоимостью от 10 миллионов рублей для налогового периода 2023 года;</w:t>
      </w:r>
    </w:p>
    <w:p>
      <w:pPr>
        <w:pStyle w:val="BodyText"/>
      </w:pPr>
      <w:r>
        <w:t xml:space="preserve">3) наличие иных оснований (например, в результате утраты права на применение льготы, поступления уточненных сведений от органов, осуществляющих государственную регистрацию транспортных средств, и т.п.).</w:t>
      </w:r>
    </w:p>
    <w:p>
      <w:pPr>
        <w:pStyle w:val="BodyText"/>
      </w:pPr>
      <w:r>
        <w:rPr>
          <w:u w:val="single"/>
          <w:bCs/>
          <w:b/>
        </w:rPr>
        <w:t xml:space="preserve">Земельный налог.</w:t>
      </w:r>
    </w:p>
    <w:p>
      <w:pPr>
        <w:pStyle w:val="BodyText"/>
      </w:pPr>
      <w:r>
        <w:t xml:space="preserve">Рост налога может обуславливаться следующими причинами:</w:t>
      </w:r>
    </w:p>
    <w:p>
      <w:pPr>
        <w:pStyle w:val="BodyText"/>
      </w:pPr>
      <w:r>
        <w:t xml:space="preserve">1) изменение налоговых ставок и (или) отмена льгот, полномочия по установлению которых относятся к компетенции представительных органов муниципальных образований.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1">
        <w:r>
          <w:rPr>
            <w:rStyle w:val="Hyperlink"/>
          </w:rPr>
          <w:t xml:space="preserve">https://www.nalog.ru/rn77/service/tax/</w:t>
        </w:r>
      </w:hyperlink>
      <w:r>
        <w:t xml:space="preserve">);</w:t>
      </w:r>
    </w:p>
    <w:p>
      <w:pPr>
        <w:pStyle w:val="BodyText"/>
      </w:pPr>
      <w:r>
        <w:t xml:space="preserve">2) изменение кадастровой стоимости земельного участка, например, вследствие изменения характеристик земельного участка (вида разрешенного использования, категории земель, площади), притом что отсутствуют основания для применения ограничения роста налоговой базы, предусмотренного пунктом 18 статьи 2 Федерального закона от 26.03.2022 № 67-ФЗ «О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w:t>
      </w:r>
    </w:p>
    <w:p>
      <w:pPr>
        <w:pStyle w:val="BodyText"/>
      </w:pPr>
      <w:r>
        <w:t xml:space="preserve">3) наличие иных оснований (например, в результате перерасчета налога, утраты права на применение льготы, поступления уточненных сведений от органов Росреестра и т.п.).</w:t>
      </w:r>
    </w:p>
    <w:p>
      <w:pPr>
        <w:pStyle w:val="BodyText"/>
      </w:pPr>
      <w:r>
        <w:rPr>
          <w:u w:val="single"/>
          <w:bCs/>
          <w:b/>
        </w:rPr>
        <w:t xml:space="preserve">Налог на имущество физических лиц.</w:t>
      </w:r>
    </w:p>
    <w:p>
      <w:pPr>
        <w:pStyle w:val="BodyText"/>
      </w:pPr>
      <w:r>
        <w:t xml:space="preserve">Рост налога может обуславливаться изменением налоговых ставок или отменой льгот, полномочия по установлению которых относятся к компетенции представительных органов муниципальных образований (городов федерального значения).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1">
        <w:r>
          <w:rPr>
            <w:rStyle w:val="Hyperlink"/>
          </w:rPr>
          <w:t xml:space="preserve">https://www.nalog.ru/rn77/service/tax/</w:t>
        </w:r>
      </w:hyperlink>
      <w:r>
        <w:t xml:space="preserve">)</w:t>
      </w:r>
    </w:p>
    <w:p>
      <w:pPr>
        <w:pStyle w:val="BodyText"/>
      </w:pPr>
      <w:r>
        <w:br/>
      </w:r>
    </w:p>
    <w:p>
      <w:pPr>
        <w:pStyle w:val="BodyText"/>
      </w:pPr>
      <w:r>
        <w:rPr>
          <w:bCs/>
          <w:b/>
        </w:rPr>
        <w:t xml:space="preserve">Основные изменения в налогообложении имущества физических лиц</w:t>
      </w:r>
    </w:p>
    <w:p>
      <w:pPr>
        <w:pStyle w:val="BodyText"/>
      </w:pPr>
      <w:r>
        <w:t xml:space="preserve">Налоговые уведомления, направленные в 2024 году, содержат расчет налогов имущественных налогов физических лиц за налоговый период 2023 года. При этом, по сравнению с предыдущим налоговым периодом произошли следующие основные изменения.</w:t>
      </w:r>
    </w:p>
    <w:p>
      <w:pPr>
        <w:pStyle w:val="BodyText"/>
      </w:pPr>
      <w:r>
        <w:rPr>
          <w:bCs/>
          <w:b/>
        </w:rPr>
        <w:t xml:space="preserve">Транспортный налог</w:t>
      </w:r>
    </w:p>
    <w:p>
      <w:pPr>
        <w:pStyle w:val="BodyText"/>
      </w:pPr>
      <w:r>
        <w:t xml:space="preserve">- при расчете налога применен Перечень легковых автомобилей средней стоимостью от 10 млн руб. за 2023 год, размещенный на официальном сайте Минпромторга России. Для налогообложения с применением повышающего коэффициента 3 используются позиции Перечня для легковых автомобилей средней стоимостью от 10 млн. до 15 млн. рублей, с года выпуска которых прошло не более 10 лет, и средней стоимостью от 15 млн. рублей, с года выпуска которых прошло не более 20 лет.</w:t>
      </w:r>
    </w:p>
    <w:p>
      <w:pPr>
        <w:pStyle w:val="BodyText"/>
      </w:pPr>
      <w:r>
        <w:rPr>
          <w:bCs/>
          <w:b/>
        </w:rPr>
        <w:t xml:space="preserve">Земельный налог</w:t>
      </w:r>
    </w:p>
    <w:p>
      <w:pPr>
        <w:pStyle w:val="BodyText"/>
      </w:pPr>
      <w:r>
        <w:t xml:space="preserve">- применены ограничения роста налоговой базы в соответствии с пунктом 18 статьи 2 Федерального закона от 26.03.2022 № 67-ФЗ «О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 В частности, в случае увеличения кадастровой стоимости земельного участка на 01.01.2023 (в том числе в результате проведения в 2022 году нового тура государственной кадастровой оценки земель и утверждения его результатов) для расчета налога за налоговый период 2023 года применена кадастровая стоимость земельного участка, внесенная в Единый государственный реестр недвижимости по состоянию на 01.01.2022, за исключением случаев, если кадастровая стоимость земельного участка увеличилась вследствие изменения его характеристик.</w:t>
      </w:r>
    </w:p>
    <w:p>
      <w:pPr>
        <w:pStyle w:val="BodyText"/>
      </w:pPr>
      <w:r>
        <w:t xml:space="preserve">С информацией о кадастровой стоимости земельного участка можно ознакомиться, получив выписку из Единого государственного реестра недвижимости в МФЦ или на официальном сайте Росреестра.</w:t>
      </w:r>
    </w:p>
    <w:p>
      <w:pPr>
        <w:pStyle w:val="BodyText"/>
      </w:pPr>
      <w:r>
        <w:rPr>
          <w:bCs/>
          <w:b/>
        </w:rPr>
        <w:t xml:space="preserve">Налог на имущество физических лиц</w:t>
      </w:r>
    </w:p>
    <w:p>
      <w:pPr>
        <w:pStyle w:val="BodyText"/>
      </w:pPr>
      <w:r>
        <w:t xml:space="preserve">- для расчета налога за налоговый период 2023 года применена кадастровая стоимость объектов недвижимости, при этом для исчисления налога использованы коэффициенты:</w:t>
      </w:r>
    </w:p>
    <w:p>
      <w:pPr>
        <w:pStyle w:val="BodyText"/>
      </w:pPr>
      <w:r>
        <w:t xml:space="preserve">• 10-типроцентного ограничения роста налога по сравнению с предшествующим налоговым периодом – для регионов, где кадастровая стоимость применяется в качестве налоговой базы третий и последующие годы (за исключением объектов, включенных в перечень, определяемый в соответствии с п.7 ст. 378.2 НК РФ, а также объектов, предусмотренных абз. 2 п. 10 ст. 378.2 НК РФ, кроме гаражей и машино-мест, расположенных в таких объектах налогообложения);</w:t>
      </w:r>
    </w:p>
    <w:p>
      <w:pPr>
        <w:pStyle w:val="BodyText"/>
      </w:pPr>
      <w:r>
        <w:t xml:space="preserve">• 0.6 в отношении объекта налогообложения, образованного начиная с четвертого налогового периода, в котором налоговая база определяется в соответствующем муниципальном образовании (городе федерального значения) исходя из кадастровой стоимости – применительно к первому налоговому периоду, за который исчисляется налог в отношении этого объекта налогообложения (за исключением объектов, включенных в перечень, определяемый в соответствии с п.7 ст. 378.2 НК РФ, а также объектов, предусмотренных п.7 ст. 378.2 НК РФ, кроме гаражей и машино-мест, расположенных в таких объектах налогообложения);</w:t>
      </w:r>
    </w:p>
    <w:p>
      <w:pPr>
        <w:pStyle w:val="BodyText"/>
      </w:pPr>
      <w:r>
        <w:t xml:space="preserve">• 0.6 (в 2023 году был 0.4) – для г. Севастополя, где кадастровая стоимость применяется в качестве налоговой базы третий год;</w:t>
      </w:r>
    </w:p>
    <w:p>
      <w:pPr>
        <w:pStyle w:val="BodyText"/>
      </w:pPr>
      <w:r>
        <w:t xml:space="preserve">- применены изменения в системе налоговых ставок и льгот в соответствии с нормативными правовыми актами муниципальных образований (городов федерального значения) по месту нахождения объектов налогообложения.</w:t>
      </w:r>
    </w:p>
    <w:p>
      <w:pPr>
        <w:pStyle w:val="BodyText"/>
      </w:pPr>
      <w:r>
        <w:t xml:space="preserve">Поскольку расчет налогов на имущество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налоговом органе или в контакт-центре ФНС России.</w:t>
      </w:r>
    </w:p>
    <w:p>
      <w:pPr>
        <w:pStyle w:val="BodyText"/>
      </w:pPr>
      <w:r>
        <w:br/>
      </w:r>
    </w:p>
    <w:p>
      <w:pPr>
        <w:pStyle w:val="BodyText"/>
      </w:pPr>
      <w:r>
        <w:t xml:space="preserve">Адрес страницы:</w:t>
      </w:r>
      <w:r>
        <w:t xml:space="preserve"> </w:t>
      </w:r>
      <w:hyperlink r:id="rId22">
        <w:r>
          <w:rPr>
            <w:rStyle w:val="Hyperlink"/>
          </w:rPr>
          <w:t xml:space="preserve">http://krasnoselsky.mos.ru/press-center/important-information/detail/12616434.html</w:t>
        </w:r>
      </w:hyperlink>
    </w:p>
    <w:p>
      <w:pPr>
        <w:pStyle w:val="BodyText"/>
      </w:pPr>
      <w:hyperlink r:id="rId23">
        <w:r>
          <w:rPr>
            <w:rStyle w:val="Hyperlink"/>
          </w:rPr>
          <w:t xml:space="preserve">Управа Красносельского района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consultantplus://offline/ref=96DA80ECADC330BAF129C43A7C4211C1101317633752A1BA039446D53F0CEC6214475A04DB388EB507D07D2833g9I" TargetMode="External" /><Relationship Type="http://schemas.openxmlformats.org/officeDocument/2006/relationships/hyperlink" Id="rId23" Target="http://krasnoselsky.mos.ru" TargetMode="External" /><Relationship Type="http://schemas.openxmlformats.org/officeDocument/2006/relationships/hyperlink" Id="rId22" Target="http://krasnoselsky.mos.ru/press-center/important-information/detail/12616434.html" TargetMode="External" /><Relationship Type="http://schemas.openxmlformats.org/officeDocument/2006/relationships/hyperlink" Id="rId21" Target="https://www.nalog.ru/rn77/service/tax/" TargetMode="External" /></Relationships>
</file>

<file path=word/_rels/footnotes.xml.rels><?xml version="1.0" encoding="UTF-8"?><Relationships xmlns="http://schemas.openxmlformats.org/package/2006/relationships"><Relationship Type="http://schemas.openxmlformats.org/officeDocument/2006/relationships/hyperlink" Id="rId20" Target="consultantplus://offline/ref=96DA80ECADC330BAF129C43A7C4211C1101317633752A1BA039446D53F0CEC6214475A04DB388EB507D07D2833g9I" TargetMode="External" /><Relationship Type="http://schemas.openxmlformats.org/officeDocument/2006/relationships/hyperlink" Id="rId23" Target="http://krasnoselsky.mos.ru" TargetMode="External" /><Relationship Type="http://schemas.openxmlformats.org/officeDocument/2006/relationships/hyperlink" Id="rId22" Target="http://krasnoselsky.mos.ru/press-center/important-information/detail/12616434.html" TargetMode="External" /><Relationship Type="http://schemas.openxmlformats.org/officeDocument/2006/relationships/hyperlink" Id="rId21" Target="https://www.nalog.ru/rn77/service/ta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2024-10-29T22:55:02Z</dcterms:created>
  <dcterms:modified xsi:type="dcterms:W3CDTF">2024-10-29T22:55:02Z</dcterms:modified>
</cp:coreProperties>
</file>

<file path=docProps/custom.xml><?xml version="1.0" encoding="utf-8"?>
<Properties xmlns="http://schemas.openxmlformats.org/officeDocument/2006/custom-properties" xmlns:vt="http://schemas.openxmlformats.org/officeDocument/2006/docPropsVTypes"/>
</file>