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eadef1943def85866e4fd3f2645de7384aeaa"/>
    <w:p>
      <w:pPr>
        <w:pStyle w:val="Heading3"/>
      </w:pPr>
      <w:r>
        <w:t xml:space="preserve">В Московской области осужден работник ОАО «РЖД» за мошенничество с использованием служебного положения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t xml:space="preserve">Клинский городской суд Московской области вынес обвинительный приговор в отношении начальника Опытной путевой машинной станции № 1-Структурного подразделения Октябрьской дирекции по ремонту пути «Путьрем»-Структурного подразделения Центральной дирекции по ремонту пути-филиала ОАО «РЖД».</w:t>
      </w:r>
    </w:p>
    <w:p>
      <w:pPr>
        <w:pStyle w:val="BodyText"/>
      </w:pPr>
      <w:r>
        <w:t xml:space="preserve">Он признан виновным в совершении преступления, предусмотренного ч. 3 ст. 159 УК РФ – то есть в совершении хищения чужого имущества путем злоупотребления доверием, совершенное лицом с использованием своего служебного положения,</w:t>
      </w:r>
    </w:p>
    <w:p>
      <w:pPr>
        <w:pStyle w:val="BodyText"/>
      </w:pPr>
      <w:r>
        <w:t xml:space="preserve">Судом установлено, что в 2021 году подсудимый, используя свое служебное положение, умышленно похитил топливную карту, принадлежащую ОАО «РЖД» и передал указанную карту в счет погашения собственного долга.</w:t>
      </w:r>
    </w:p>
    <w:p>
      <w:pPr>
        <w:pStyle w:val="BodyText"/>
      </w:pPr>
      <w:r>
        <w:t xml:space="preserve">Ущерб, причиненный ОАО «РЖД» составил более 150 тыс. рублей.</w:t>
      </w:r>
    </w:p>
    <w:p>
      <w:pPr>
        <w:pStyle w:val="BodyText"/>
      </w:pPr>
      <w:r>
        <w:t xml:space="preserve">Суд, с учётом позиции государственного обвинителя Северной транспортной прокуратуры, признал подсудимого виновным в совершении вышеуказанного деяния и назначил ему наказание в виде штрафа в размере 100 тыс. рублей.</w:t>
      </w:r>
    </w:p>
    <w:p>
      <w:pPr>
        <w:pStyle w:val="BodyText"/>
      </w:pPr>
      <w:r>
        <w:t xml:space="preserve">Приговор вступил в законную силу.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http://krasnoselsky.mos.ru/press-center/important-information/detail/11703261.html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2024-04-24T19:08:11Z</dcterms:created>
  <dcterms:modified xsi:type="dcterms:W3CDTF">2024-04-24T19:08:11Z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