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исторические-субботы"/>
    <w:p>
      <w:pPr>
        <w:pStyle w:val="Heading3"/>
      </w:pPr>
      <w:r>
        <w:t xml:space="preserve">Исторические субботы</w:t>
      </w:r>
    </w:p>
    <w:p>
      <w:pPr>
        <w:pStyle w:val="FirstParagraph"/>
      </w:pPr>
      <w:r>
        <w:t xml:space="preserve">08.09.2016</w:t>
      </w:r>
    </w:p>
    <w:p>
      <w:pPr>
        <w:pStyle w:val="BodyText"/>
      </w:pPr>
      <w:r>
        <w:drawing>
          <wp:inline>
            <wp:extent cx="5334000" cy="76498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d69/voennoe-istoricheskoe-obshchest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49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045/voennoe-istoricheskoe-obshchestvo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http://krasnoselsky.mos.ru/press-center/events/detail/3701799.html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events/detail/3701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events/detail/3701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2025-08-04T19:46:11Z</dcterms:created>
  <dcterms:modified xsi:type="dcterms:W3CDTF">2025-08-04T19:46:11Z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