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eb10bbe7559a06d0284eba17b2661972d430df"/>
    <w:p>
      <w:pPr>
        <w:pStyle w:val="Heading3"/>
      </w:pPr>
      <w:r>
        <w:t xml:space="preserve">Представители бизнес-сообществ и автоперевозчики могут внести предложения по организации дополнительных парковочных мест для грузового транспорта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t xml:space="preserve">Представители бизнес-сообществ и автоперевозчики могут внести предложения по организации дополнительных парковочных мест для грузового транспорта разрешенной максимальной массой более полутора тонн в Центр организации дорожного движения Правительства Москвы. Этот вопрос в настоящее время прорабатывает Департамент транспорта и развития дорожно-транспортной инфраструктуры.</w:t>
      </w:r>
      <w:r>
        <w:br/>
      </w:r>
    </w:p>
    <w:p>
      <w:pPr>
        <w:pStyle w:val="BodyText"/>
      </w:pPr>
      <w:r>
        <w:t xml:space="preserve">Целью организации мест разгрузочно-погрузочных работ в городе Москве является снижение количества случаев остановки грузовых автотранспортных средств далее первого ряда проезжей части, а также увеличение скорости и удобства доставки грузов к торговым объектам, при этом они должны:</w:t>
      </w:r>
    </w:p>
    <w:p>
      <w:pPr>
        <w:pStyle w:val="BodyText"/>
      </w:pPr>
      <w:r>
        <w:t xml:space="preserve">- располагаться на улицах с числом полос для движения не более 2 в каждую сторону;</w:t>
      </w:r>
    </w:p>
    <w:p>
      <w:pPr>
        <w:pStyle w:val="BodyText"/>
      </w:pPr>
      <w:r>
        <w:t xml:space="preserve">- предназначаться для обслуживания не менее чем 5 торговых объектов, расположенных в пределах шаговой доступности от мест разгрузочно-погрузочных работ (не более 100 м в каждую сторону), при этом указанные объекты не должны иметь возможности осуществления погрузочно-разгрузочных работ с дворовой территории или встроенный в здание дебаркадер.</w:t>
      </w:r>
    </w:p>
    <w:p>
      <w:pPr>
        <w:pStyle w:val="BodyText"/>
      </w:pPr>
      <w:r>
        <w:t xml:space="preserve">Напомним, с 30 октября 2014 года в зонах высокой торговой активности в пределах Садового кольца организовано 13 специальных парковочных мест для грузового транспорта общей вместимостью 14 машиномест. Эти места определены посредством натурных и опросных исследований и отвечают требованиям удобства и безопасности. Специальные парковки организованы на улицах, где отсутствует возможность проведения разгрузочно-погрузочных работ вне улично-дорожной сети. Кроме того, парковки организованы в начале пешеходных улиц города, чтобы максимально сократить дистанцию ручной доставки грузов от грузового автомобиля до торговых объектов, расположенных на пешеходных улицах.</w:t>
      </w:r>
    </w:p>
    <w:p>
      <w:pPr>
        <w:pStyle w:val="BodyText"/>
      </w:pPr>
      <w:r>
        <w:t xml:space="preserve">С ноября 2015 года в пределах Садового кольца дополнительно организованы специальные парковочные места для грузового транспорта массой более 1,5 тонн. Парковки расположены по следующим адресам: улица Воронцово поле, д. 20, Еропкинский переулок, д. 11, улица Трубная, д. 26 к. 1.</w:t>
      </w:r>
    </w:p>
    <w:p>
      <w:pPr>
        <w:pStyle w:val="BodyText"/>
      </w:pPr>
      <w:r>
        <w:t xml:space="preserve">Парковочные места для грузовиков обозначаются при помощи специальной дорожной разметки и дорожных знаков, среди которых табличка 8.4.1 «Вид транспортного средства» с указанием разрешенной максимальной массы более 1,5 тонн, а также имеют маркировку парковочной зоны от №5000.</w:t>
      </w:r>
    </w:p>
    <w:p>
      <w:pPr>
        <w:pStyle w:val="BodyText"/>
      </w:pPr>
      <w:r>
        <w:br/>
      </w:r>
    </w:p>
    <w:bookmarkEnd w:id="20"/>
    <w:bookmarkStart w:id="23" w:name="X3515a7524b13c949880066442b8285d081c966f"/>
    <w:p>
      <w:pPr>
        <w:pStyle w:val="Heading3"/>
      </w:pPr>
      <w:r>
        <w:t xml:space="preserve">Полный перечень адресов специальных парковочных мест для грузового транспорта:</w:t>
      </w:r>
    </w:p>
    <w:p>
      <w:pPr>
        <w:numPr>
          <w:ilvl w:val="0"/>
          <w:numId w:val="1001"/>
        </w:numPr>
        <w:pStyle w:val="Compact"/>
      </w:pPr>
      <w:r>
        <w:t xml:space="preserve">Большой Златоустинский переулок, дом 7, строение 1</w:t>
      </w:r>
    </w:p>
    <w:p>
      <w:pPr>
        <w:numPr>
          <w:ilvl w:val="0"/>
          <w:numId w:val="1001"/>
        </w:numPr>
        <w:pStyle w:val="Compact"/>
      </w:pPr>
      <w:r>
        <w:t xml:space="preserve">Лубянский проезд, дом 15/2</w:t>
      </w:r>
    </w:p>
    <w:p>
      <w:pPr>
        <w:numPr>
          <w:ilvl w:val="0"/>
          <w:numId w:val="1001"/>
        </w:numPr>
        <w:pStyle w:val="Compact"/>
      </w:pPr>
      <w:r>
        <w:t xml:space="preserve">Лубянский проезд, дом 25, строение 1</w:t>
      </w:r>
    </w:p>
    <w:p>
      <w:pPr>
        <w:numPr>
          <w:ilvl w:val="0"/>
          <w:numId w:val="1001"/>
        </w:numPr>
        <w:pStyle w:val="Compact"/>
      </w:pPr>
      <w:r>
        <w:t xml:space="preserve">Чистопрудный бульвар, дом 15, строение 1</w:t>
      </w:r>
    </w:p>
    <w:p>
      <w:pPr>
        <w:numPr>
          <w:ilvl w:val="0"/>
          <w:numId w:val="1001"/>
        </w:numPr>
        <w:pStyle w:val="Compact"/>
      </w:pPr>
      <w:r>
        <w:t xml:space="preserve">Большая Татарская улица, дом 36</w:t>
      </w:r>
    </w:p>
    <w:p>
      <w:pPr>
        <w:numPr>
          <w:ilvl w:val="0"/>
          <w:numId w:val="1001"/>
        </w:numPr>
        <w:pStyle w:val="Compact"/>
      </w:pPr>
      <w:r>
        <w:t xml:space="preserve">Улица Сретенка, дом 1</w:t>
      </w:r>
    </w:p>
    <w:p>
      <w:pPr>
        <w:numPr>
          <w:ilvl w:val="0"/>
          <w:numId w:val="1001"/>
        </w:numPr>
        <w:pStyle w:val="Compact"/>
      </w:pPr>
      <w:r>
        <w:t xml:space="preserve">Улица Кузнецкий Мост, дом 20/6/9, строение 1</w:t>
      </w:r>
    </w:p>
    <w:p>
      <w:pPr>
        <w:numPr>
          <w:ilvl w:val="0"/>
          <w:numId w:val="1001"/>
        </w:numPr>
        <w:pStyle w:val="Compact"/>
      </w:pPr>
      <w:r>
        <w:t xml:space="preserve">Газетный переулок, дом 3</w:t>
      </w:r>
    </w:p>
    <w:p>
      <w:pPr>
        <w:numPr>
          <w:ilvl w:val="0"/>
          <w:numId w:val="1001"/>
        </w:numPr>
        <w:pStyle w:val="Compact"/>
      </w:pPr>
      <w:r>
        <w:t xml:space="preserve">Спиридоньевский переулок, дом 6</w:t>
      </w:r>
    </w:p>
    <w:p>
      <w:pPr>
        <w:numPr>
          <w:ilvl w:val="0"/>
          <w:numId w:val="1001"/>
        </w:numPr>
        <w:pStyle w:val="Compact"/>
      </w:pPr>
      <w:r>
        <w:t xml:space="preserve">Улица Петровка, дом 11</w:t>
      </w:r>
    </w:p>
    <w:p>
      <w:pPr>
        <w:numPr>
          <w:ilvl w:val="0"/>
          <w:numId w:val="1001"/>
        </w:numPr>
        <w:pStyle w:val="Compact"/>
      </w:pPr>
      <w:r>
        <w:t xml:space="preserve">Улица Петровка, дом 17</w:t>
      </w:r>
    </w:p>
    <w:p>
      <w:pPr>
        <w:numPr>
          <w:ilvl w:val="0"/>
          <w:numId w:val="1001"/>
        </w:numPr>
        <w:pStyle w:val="Compact"/>
      </w:pPr>
      <w:r>
        <w:t xml:space="preserve">Улица Петровские линии, дом 1</w:t>
      </w:r>
    </w:p>
    <w:p>
      <w:pPr>
        <w:numPr>
          <w:ilvl w:val="0"/>
          <w:numId w:val="1001"/>
        </w:numPr>
        <w:pStyle w:val="Compact"/>
      </w:pPr>
      <w:r>
        <w:t xml:space="preserve">Гоголевский бульвар, дом 17, строение 1</w:t>
      </w:r>
    </w:p>
    <w:p>
      <w:pPr>
        <w:numPr>
          <w:ilvl w:val="0"/>
          <w:numId w:val="1001"/>
        </w:numPr>
        <w:pStyle w:val="Compact"/>
      </w:pPr>
      <w:r>
        <w:t xml:space="preserve">Улица Воронцово поле, д. 20</w:t>
      </w:r>
    </w:p>
    <w:p>
      <w:pPr>
        <w:numPr>
          <w:ilvl w:val="0"/>
          <w:numId w:val="1001"/>
        </w:numPr>
        <w:pStyle w:val="Compact"/>
      </w:pPr>
      <w:r>
        <w:t xml:space="preserve">Еропкинский переулок, д. 11</w:t>
      </w:r>
    </w:p>
    <w:p>
      <w:pPr>
        <w:numPr>
          <w:ilvl w:val="0"/>
          <w:numId w:val="1001"/>
        </w:numPr>
        <w:pStyle w:val="Compact"/>
      </w:pPr>
      <w:r>
        <w:t xml:space="preserve">Улица Трубная, д. 26 к. 1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http://krasnoselsky.mos.ru/information-about-parking-lots-and-garages/detail/3255120.html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information-about-parking-lots-and-garages/detail/3255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information-about-parking-lots-and-garages/detail/3255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2025-07-30T09:08:16Z</dcterms:created>
  <dcterms:modified xsi:type="dcterms:W3CDTF">2025-07-30T09:08:16Z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