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6c160769c0e3dab9a19225e46f234a8a5f7d3"/>
    <w:p>
      <w:pPr>
        <w:pStyle w:val="Heading3"/>
      </w:pPr>
      <w:r>
        <w:t xml:space="preserve">ОПОВЕЩЕНИЕ о начале общественных обсуждений по корректировке части проекта межевания территории квартала № 100 Красносельского района, ограниченного Тургеневской площадью, Мясницкой улицей, Бобровым переулком, Фроловым переулком (ЦАО)</w:t>
      </w:r>
    </w:p>
    <w:p>
      <w:pPr>
        <w:pStyle w:val="FirstParagraph"/>
      </w:pPr>
      <w:r>
        <w:t xml:space="preserve">31.08.2020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http://krasnoselsky.mos.ru/electronic-public-discussion/detail/9185888.html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electronic-public-discussion/detail/9185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electronic-public-discussion/detail/9185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2025-03-15T02:59:48Z</dcterms:created>
  <dcterms:modified xsi:type="dcterms:W3CDTF">2025-03-15T02:59:48Z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