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ект-межевания-территории-квартала-999"/>
    <w:p>
      <w:pPr>
        <w:pStyle w:val="Heading3"/>
      </w:pPr>
      <w:r>
        <w:t xml:space="preserve">Проект межевания территории квартала 999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Данная работа выполняется в соответствии с Градостроительным и Земельным и Жилищным законодательством Российской Федерации, Законом города Москвы от 19.12.2007 г.№48 «О землепользовании в городе Москве», Едиными методическими указаниями по разработке проектов межевания территории города Москвы, утвержденными приказом по Москомархитектуре №13 от 13.02.2008г.</w:t>
      </w:r>
    </w:p>
    <w:p>
      <w:pPr>
        <w:pStyle w:val="BodyText"/>
      </w:pPr>
      <w:r>
        <w:t xml:space="preserve">Рассматриваемая территория квартала №999 (984 по БТИ)), расположена в Красносельском районе ЦАО в квартале, ограниченном: 4-й Красносельским пер., Верхней Красносельской ул., 3-им Красносельским пер..</w:t>
      </w:r>
    </w:p>
    <w:p>
      <w:pPr>
        <w:pStyle w:val="BodyText"/>
      </w:pPr>
      <w:r>
        <w:t xml:space="preserve">Площадь данного квартала (фактическая) составляет 2,53 га. Застройка квартала расположена на территории без определения какого-либо морфотипа исторической застройки.</w:t>
      </w:r>
    </w:p>
    <w:p>
      <w:pPr>
        <w:pStyle w:val="BodyText"/>
      </w:pPr>
      <w:r>
        <w:t xml:space="preserve">На первом этапе разработки проведены натурные обследования и выполнена оценка состояния территории квартала по существующему положению.</w:t>
      </w:r>
    </w:p>
    <w:p>
      <w:pPr>
        <w:pStyle w:val="BodyText"/>
      </w:pPr>
      <w:r>
        <w:t xml:space="preserve">Результаты обследования показали, что основными факторами, влияющими на межевание территории квартала, являются сложившиеся планировочные разграничения, в том числе границы фактического использования землевладения, существующие ограждения.</w:t>
      </w:r>
    </w:p>
    <w:p>
      <w:pPr>
        <w:pStyle w:val="BodyText"/>
      </w:pPr>
      <w:r>
        <w:t xml:space="preserve">На рассматриваемой территории данного квартала размещается жилая застройка, состоящая из трех жилых домов. Нежилая часть квартала представлена территориями производственной застройки: в том числе территорией ЗАО «Московская обойная фабрика», территорией котельной, а также территориями административных строений.</w:t>
      </w:r>
    </w:p>
    <w:p>
      <w:pPr>
        <w:pStyle w:val="BodyText"/>
      </w:pPr>
      <w:r>
        <w:t xml:space="preserve">На втором этапе произведен расчёт нормативно необходимой площади участков жилых и нежилых строений в соответствии с МГСН 1-01-99. Расчёты нормативной потребности в территории представлены в таблице.</w:t>
      </w:r>
    </w:p>
    <w:p>
      <w:pPr>
        <w:pStyle w:val="BodyText"/>
      </w:pPr>
      <w:r>
        <w:t xml:space="preserve">Территория распределена следующим образом:</w:t>
      </w:r>
    </w:p>
    <w:p>
      <w:pPr>
        <w:pStyle w:val="BodyText"/>
      </w:pPr>
      <w:r>
        <w:t xml:space="preserve">Участок №1 размером 0,5620га, в том числе с минимальным обременением 0,2970га, выделяется жилому дому по адресу: 4-й Красносельский пер. д. 5. Территория жилого дома не соответствует нормативному показателю. Доступ на участок с 3-го Красносельского пер. и 4-го Красносельского пер.</w:t>
      </w:r>
    </w:p>
    <w:p>
      <w:pPr>
        <w:pStyle w:val="BodyText"/>
      </w:pPr>
      <w:r>
        <w:t xml:space="preserve">Участок №2 размером 0,1235га выделяется жилому дому по адресу: 3-й Красносельский пер. д. 8. Территория жилого дома не соответствует нормативному показателю. Доступ на участок с 3-го Красносельского пер.</w:t>
      </w:r>
    </w:p>
    <w:p>
      <w:pPr>
        <w:pStyle w:val="BodyText"/>
      </w:pPr>
      <w:r>
        <w:t xml:space="preserve">Участок №3 размером 0,2109га выделяется жилому дому (общежитие по БТИ) по адресу: 3-й Красносельский пер. д.6. Территория жилого дома не соответствует нормативному показателю. Доступ на участок с 3-го Красносельского пер.</w:t>
      </w:r>
    </w:p>
    <w:p>
      <w:pPr>
        <w:pStyle w:val="BodyText"/>
      </w:pPr>
      <w:r>
        <w:t xml:space="preserve">Участок №4 размером 0,3361га, выделяется для эксплуатации административного здания по адресу: Верхняя Красносельская ул.д.2/1 стр.1 по фактическому использованию и в соответствии с оформленными договорами аренды земельных участков. Доступ на участок с Верхней Красносельской ул. и 3-го Красносельского пер.</w:t>
      </w:r>
    </w:p>
    <w:p>
      <w:pPr>
        <w:pStyle w:val="BodyText"/>
      </w:pPr>
      <w:r>
        <w:t xml:space="preserve">Участок №5 размером 0,4270 га, выделяется для эксплуатации нежилого здания расположенного по адресу: Верхняя Красносельская ул.д.2/1 стр. 3 по факту использования. Доступ на участок 4-го Красносельского переулка. Часть участка находится в зоне с градостроительными ограничениями - территория ПИК №182.</w:t>
      </w:r>
    </w:p>
    <w:p>
      <w:pPr>
        <w:pStyle w:val="BodyText"/>
      </w:pPr>
      <w:r>
        <w:t xml:space="preserve">Участок №5а размером 0,3694га, выделяется для эксплуатации нежилого здания, расположенного по адресу: Верхняя Красносельская ул.д.2/1 стр.2 по факту использования. Доступ на участок с Верхней Красносельской улицы. Часть участка находится в зоне с градостроительными ограничениями - территории ПИК №182.</w:t>
      </w:r>
    </w:p>
    <w:p>
      <w:pPr>
        <w:pStyle w:val="BodyText"/>
      </w:pPr>
      <w:r>
        <w:t xml:space="preserve">Участок №6 размером 0,0602 га выделяется для эксплуатации административного здания расположено по адресу: Верхняя Красносельскаяул.д.2/1стр.4 по фактическому использованию и в соответствии с оформленными договорами аренды земельных участков. Доступ на участок с Верхней Красносельской ул, и 4-го Красносельского пер. Весь участок находится в зоне с градостроительными ограничениями - территории ПИК №182.</w:t>
      </w:r>
    </w:p>
    <w:p>
      <w:pPr>
        <w:pStyle w:val="BodyText"/>
      </w:pPr>
      <w:r>
        <w:t xml:space="preserve">Участок №7 размером 0,0659га выделяется для эксплуатации котельной распо ложе ной по адресу: 4-й Красносельский пер. д. 5 стр.1, в габаритах наружных стен. В настоящее время котельная не функционирует. Доступ на участок с 3-го Красносельского пер. и 4-го Красносельского пер.</w:t>
      </w:r>
    </w:p>
    <w:p>
      <w:pPr>
        <w:pStyle w:val="BodyText"/>
      </w:pPr>
      <w:r>
        <w:t xml:space="preserve">Участок №8 размером 0,0214га выделяется для эксплуатации нежилого строения (складу) расположенному по адресу: 4-й Красносельский пер. д.5 стр.3, в габаритах наружных стен. Доступ на участок с 4-го Красносельского пер.</w:t>
      </w:r>
    </w:p>
    <w:p>
      <w:pPr>
        <w:pStyle w:val="BodyText"/>
      </w:pPr>
      <w:r>
        <w:t xml:space="preserve">Участок №9 размером 0,0047га выделяется для эксплуатации ТП расположенному по адресу: Верхняя Красносельская ул.,д.2/1 стр.10 в габаритах наружных стен.</w:t>
      </w:r>
    </w:p>
    <w:p>
      <w:pPr>
        <w:pStyle w:val="BodyText"/>
      </w:pPr>
      <w:r>
        <w:t xml:space="preserve">Участок №10 размером 0,0044га выделяется для эксплуатации ТП (в данных БТИ не учтено) в габаритах наружных стен.</w:t>
      </w:r>
    </w:p>
    <w:p>
      <w:pPr>
        <w:pStyle w:val="BodyText"/>
      </w:pPr>
      <w:r>
        <w:t xml:space="preserve">Участок №12 размером 0,0043 га выделяется для эксплуатации ТП (в данных БТИ не учтено) в габаритах наружных стен. Доступ на участок с Верхней Красносельской улицы. Весь участок находится в зоне с градостроительными ограничениями - территории ПИК №182.</w:t>
      </w:r>
    </w:p>
    <w:p>
      <w:pPr>
        <w:pStyle w:val="BodyText"/>
      </w:pPr>
      <w:r>
        <w:t xml:space="preserve">Участок №13 размером 0,006га выделяется для эксплуатации нежилого строения (в данных БТИ не учтено) в габаритах наружных стен. Доступ на участок с Верхней Красносельской улицы. Весь участок находится в зоне с градостроительными ограничениями - территории ПИК №182.</w:t>
      </w:r>
    </w:p>
    <w:p>
      <w:pPr>
        <w:pStyle w:val="BodyText"/>
      </w:pPr>
      <w:r>
        <w:t xml:space="preserve">Территория общего пользования (участок №11) составляет 0,3342 га, в том числе:</w:t>
      </w:r>
    </w:p>
    <w:p>
      <w:pPr>
        <w:pStyle w:val="BodyText"/>
      </w:pPr>
      <w:r>
        <w:t xml:space="preserve">- детская площадка площадью 0,0302га, пешеходные и транспортные внутренние проходы и проезды, автостоянки, благоустроенные участки озелененных территорий.</w:t>
      </w:r>
    </w:p>
    <w:p>
      <w:pPr>
        <w:pStyle w:val="BodyText"/>
      </w:pPr>
      <w:r>
        <w:t xml:space="preserve">Границы участков установлены графически по плану М 1:2000 и не являются основанием для производства строительных работ, в том числе устройства ограждения участка, а также на ведение хозяйственной деятельности. Подлежат уточнению при оформлении земельно-правовых документов.</w:t>
      </w:r>
    </w:p>
    <w:p>
      <w:pPr>
        <w:pStyle w:val="BodyText"/>
      </w:pPr>
      <w:r>
        <w:t xml:space="preserve">Соответствующие характеристики фактического использования и расчетного обоснования размеров участков территории квартала представлены в таблице №1.</w:t>
      </w:r>
    </w:p>
    <w:p>
      <w:pPr>
        <w:pStyle w:val="BodyText"/>
      </w:pPr>
      <w:r>
        <w:t xml:space="preserve">Соответствующие характеристики градостроительных требований и ограничений фактического использования участков территории квартала представлены в таблице №2.</w:t>
      </w:r>
    </w:p>
    <w:p>
      <w:pPr>
        <w:pStyle w:val="BodyText"/>
      </w:pPr>
      <w:r>
        <w:t xml:space="preserve">Соответствующие характеристики условий предоставления имущественных прав на земельные участки (или их части) квартала представлены в таблице №3</w:t>
      </w:r>
    </w:p>
    <w:p>
      <w:pPr>
        <w:pStyle w:val="BodyText"/>
      </w:pPr>
      <w:r>
        <w:t xml:space="preserve">План фактического использования территории части квартала представлен на чертеже №1.</w:t>
      </w:r>
    </w:p>
    <w:p>
      <w:pPr>
        <w:pStyle w:val="BodyText"/>
      </w:pPr>
      <w:r>
        <w:t xml:space="preserve">План градостроительных регламентов представлен на чертеже № 2.</w:t>
      </w:r>
    </w:p>
    <w:p>
      <w:pPr>
        <w:pStyle w:val="BodyText"/>
      </w:pPr>
      <w:r>
        <w:t xml:space="preserve">План межевания территории квартала представлен на чертеже №3.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http://krasnoselsky.mos.ru/construction/detail/881083.html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.tech.mos.ru/upload/medialibrary/0b4/999_2.jpg" TargetMode="External" /><Relationship Type="http://schemas.openxmlformats.org/officeDocument/2006/relationships/hyperlink" Id="rId20" Target="http://krasn.tech.mos.ru/upload/medialibrary/aed/999_1.jpg" TargetMode="Externa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construction/detail/881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.tech.mos.ru/upload/medialibrary/0b4/999_2.jpg" TargetMode="External" /><Relationship Type="http://schemas.openxmlformats.org/officeDocument/2006/relationships/hyperlink" Id="rId20" Target="http://krasn.tech.mos.ru/upload/medialibrary/aed/999_1.jpg" TargetMode="Externa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construction/detail/881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2025-07-28T03:08:06Z</dcterms:created>
  <dcterms:modified xsi:type="dcterms:W3CDTF">2025-07-28T03:08:06Z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