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2262aedb2fbcdc07d3e4001b607e0ef0da72a"/>
    <w:p>
      <w:pPr>
        <w:pStyle w:val="Heading3"/>
      </w:pPr>
      <w:r>
        <w:t xml:space="preserve">2.ГРАФИК проведения обучающих семинаров по предоставлению в электронном виде государственных услуг в сфере строительства в III квартале 2024 года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ГРАФИК проведения обучающих семинаров по предоставлению в электронном виде государственных услуг в сфере строительства в III квартале 2024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http://krasnoselsky.mos.ru/construction/detail/12453560.html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88;&#1072;&#1092;&#1080;&#1082;%203%20&#1082;&#1074;%202024.pdf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truction/detail/12453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88;&#1072;&#1092;&#1080;&#1082;%203%20&#1082;&#1074;%202024.pdf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truction/detail/12453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2024-11-19T14:26:36Z</dcterms:created>
  <dcterms:modified xsi:type="dcterms:W3CDTF">2024-11-19T14:26:36Z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